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E55" w:rsidRDefault="008A2B59">
      <w:pPr>
        <w:pStyle w:val="a4"/>
        <w:jc w:val="center"/>
        <w:rPr>
          <w:i/>
        </w:rPr>
      </w:pPr>
      <w:r>
        <w:rPr>
          <w:i/>
        </w:rPr>
        <w:t>(редакция № 5 на 2 апреля 2022 г.)</w:t>
      </w:r>
    </w:p>
    <w:p w:rsidR="00D57E55" w:rsidRDefault="008A2B59">
      <w:pPr>
        <w:pStyle w:val="head"/>
      </w:pPr>
      <w:r>
        <w:rPr>
          <w:b/>
        </w:rPr>
        <w:t>ПРАВИТЕЛЬСТВО ПРИДНЕСТРОВСКОЙ МОЛДАВСКОЙ РЕСПУБЛИКИ</w:t>
      </w:r>
    </w:p>
    <w:p w:rsidR="00D57E55" w:rsidRDefault="008A2B59">
      <w:pPr>
        <w:pStyle w:val="head"/>
      </w:pPr>
      <w:r>
        <w:rPr>
          <w:b/>
        </w:rPr>
        <w:t>ПОСТАНОВЛЕНИЕ</w:t>
      </w:r>
    </w:p>
    <w:p w:rsidR="00D57E55" w:rsidRDefault="008A2B59">
      <w:pPr>
        <w:pStyle w:val="head"/>
      </w:pPr>
      <w:r>
        <w:rPr>
          <w:b/>
        </w:rPr>
        <w:t>от 20 марта 2019 г.</w:t>
      </w:r>
      <w:r>
        <w:br/>
      </w:r>
      <w:r>
        <w:rPr>
          <w:b/>
        </w:rPr>
        <w:t>№ 92</w:t>
      </w:r>
    </w:p>
    <w:p w:rsidR="00D57E55" w:rsidRDefault="008A2B59">
      <w:pPr>
        <w:pStyle w:val="head"/>
      </w:pPr>
      <w:r>
        <w:rPr>
          <w:b/>
        </w:rPr>
        <w:t xml:space="preserve">О перераспределении бюджетных </w:t>
      </w:r>
      <w:r>
        <w:rPr>
          <w:b/>
        </w:rPr>
        <w:t>средств республиканского (местного) бюджета</w:t>
      </w:r>
    </w:p>
    <w:p w:rsidR="00D57E55" w:rsidRDefault="008A2B59">
      <w:pPr>
        <w:pStyle w:val="head"/>
      </w:pPr>
      <w:r>
        <w:t>САЗ (25.03.2019) № 19-11</w:t>
      </w:r>
    </w:p>
    <w:p w:rsidR="00D57E55" w:rsidRDefault="008A2B59">
      <w:pPr>
        <w:ind w:firstLine="480"/>
        <w:jc w:val="both"/>
      </w:pPr>
      <w:r>
        <w:t xml:space="preserve">В соответствии со </w:t>
      </w:r>
      <w:r w:rsidRPr="00E71ECE">
        <w:rPr>
          <w:u w:color="0000FF"/>
        </w:rPr>
        <w:t>ст</w:t>
      </w:r>
      <w:r w:rsidRPr="00E71ECE">
        <w:rPr>
          <w:u w:color="0000FF"/>
        </w:rPr>
        <w:t>атьей 76-6 Конституции Приднестровской Молдавской Республики</w:t>
      </w:r>
      <w:r>
        <w:t xml:space="preserve">, </w:t>
      </w:r>
      <w:r w:rsidRPr="00E71ECE">
        <w:rPr>
          <w:u w:color="0000FF"/>
        </w:rPr>
        <w:t>статьями 14</w:t>
      </w:r>
      <w:r>
        <w:t xml:space="preserve"> и </w:t>
      </w:r>
      <w:r w:rsidRPr="00E71ECE">
        <w:rPr>
          <w:u w:color="0000FF"/>
        </w:rPr>
        <w:t>25 Конституционного закона Приднестровской Молдавской Республики от 30 ноября 2011 года № 224-КЗ-</w:t>
      </w:r>
      <w:r w:rsidRPr="00E71ECE">
        <w:rPr>
          <w:u w:color="0000FF"/>
        </w:rPr>
        <w:t>V "О Правительстве Приднестровской Молдавской Республики"</w:t>
      </w:r>
      <w:r>
        <w:t xml:space="preserve"> (САЗ 11-48) в действующей редакции, </w:t>
      </w:r>
      <w:r w:rsidRPr="00E71ECE">
        <w:rPr>
          <w:u w:color="0000FF"/>
        </w:rPr>
        <w:t>Законом Приднестровской Молдавской Республики от 14 января 2003 года № 225-З-III "О бюджетной классификации Приднестровской Молдавской Республики"</w:t>
      </w:r>
      <w:r>
        <w:t xml:space="preserve"> (САЗ 03-3) в действующей редакции, </w:t>
      </w:r>
      <w:r w:rsidRPr="00E71ECE">
        <w:rPr>
          <w:u w:color="0000FF"/>
        </w:rPr>
        <w:t>Законом Приднестровской Молдавской Республики от 24 февраля 1997 года № 35-З "О бюджетной системе в Приднестровской Молдавской Республике"</w:t>
      </w:r>
      <w:r>
        <w:t> (С</w:t>
      </w:r>
      <w:r>
        <w:t>ЗМР 97-2) в действующей редакции, Правительство Приднестровской Молдавской Республики постановляет:</w:t>
      </w:r>
    </w:p>
    <w:p w:rsidR="00D57E55" w:rsidRDefault="008A2B59">
      <w:pPr>
        <w:ind w:firstLine="480"/>
        <w:jc w:val="both"/>
      </w:pPr>
      <w:r>
        <w:t>1. Утвердить Порядок перераспределения бюджетных средств республиканского (местного) бюджета согласно Приложению № 1 к настоящему Постановлению.</w:t>
      </w:r>
    </w:p>
    <w:p w:rsidR="00D57E55" w:rsidRDefault="008A2B59">
      <w:pPr>
        <w:ind w:firstLine="480"/>
        <w:jc w:val="both"/>
      </w:pPr>
      <w:r>
        <w:t>2. Утвердит</w:t>
      </w:r>
      <w:r>
        <w:t>ь Положение о перераспределении бюджетных средств республиканского (местного) бюджета по разделу (подразделу) функциональной бюджетной классификации расходов согласно Приложению № 2 к настоящему Постановлению.</w:t>
      </w:r>
    </w:p>
    <w:p w:rsidR="00D57E55" w:rsidRDefault="008A2B59">
      <w:pPr>
        <w:ind w:firstLine="480"/>
        <w:jc w:val="both"/>
      </w:pPr>
      <w:r>
        <w:t xml:space="preserve">3. Считать утратившим силу </w:t>
      </w:r>
      <w:r w:rsidRPr="00E71ECE">
        <w:rPr>
          <w:u w:color="0000FF"/>
        </w:rPr>
        <w:t>Постановление Правительства Приднестровской Молдавской Республики от 24 января 2014 года № 24 "О перераспределении бюджетных ср</w:t>
      </w:r>
      <w:r w:rsidRPr="00E71ECE">
        <w:rPr>
          <w:u w:color="0000FF"/>
        </w:rPr>
        <w:t>едств"</w:t>
      </w:r>
      <w:r>
        <w:t xml:space="preserve"> (САЗ 14-4) с изменением и дополнением, внесенными постановлениями Правительства Приднестровской Молдавской Республики </w:t>
      </w:r>
      <w:r w:rsidRPr="00E71ECE">
        <w:rPr>
          <w:u w:color="0000FF"/>
        </w:rPr>
        <w:t>от 2 июня 2016 года № 130</w:t>
      </w:r>
      <w:r>
        <w:t xml:space="preserve"> (САЗ 16-22), </w:t>
      </w:r>
      <w:r w:rsidRPr="00E71ECE">
        <w:rPr>
          <w:u w:color="0000FF"/>
        </w:rPr>
        <w:t>от 15 августа 2016 года № 227</w:t>
      </w:r>
      <w:r>
        <w:t> (САЗ 16-33).</w:t>
      </w:r>
    </w:p>
    <w:p w:rsidR="00D57E55" w:rsidRDefault="008A2B59">
      <w:pPr>
        <w:ind w:firstLine="480"/>
        <w:jc w:val="both"/>
      </w:pPr>
      <w:r>
        <w:t>4. Настоящее Постановле</w:t>
      </w:r>
      <w:r>
        <w:t>ние вступает в силу со дня, следующего за днем его официального опубликования.</w:t>
      </w:r>
    </w:p>
    <w:p w:rsidR="00D57E55" w:rsidRDefault="008A2B59">
      <w:pPr>
        <w:pStyle w:val="a4"/>
      </w:pPr>
      <w:r>
        <w:rPr>
          <w:b/>
        </w:rPr>
        <w:t>ПРЕДСЕДАТЕЛЬ ПРАВИТЕЛЬСТВА А.МАРТЫНОВ</w:t>
      </w:r>
    </w:p>
    <w:p w:rsidR="00D57E55" w:rsidRDefault="008A2B59">
      <w:pPr>
        <w:pStyle w:val="a4"/>
      </w:pPr>
      <w:r>
        <w:t>г. Тирасполь</w:t>
      </w:r>
      <w:r>
        <w:br/>
      </w:r>
      <w:r>
        <w:t>20 марта 2019 г.</w:t>
      </w:r>
      <w:r>
        <w:br/>
      </w:r>
      <w:r>
        <w:t>№ 92</w:t>
      </w:r>
    </w:p>
    <w:p w:rsidR="00E71ECE" w:rsidRDefault="00E71ECE">
      <w:pPr>
        <w:pStyle w:val="a4"/>
      </w:pPr>
    </w:p>
    <w:p w:rsidR="00E71ECE" w:rsidRDefault="00E71ECE">
      <w:pPr>
        <w:pStyle w:val="a4"/>
      </w:pPr>
    </w:p>
    <w:p w:rsidR="00D57E55" w:rsidRDefault="008A2B59">
      <w:pPr>
        <w:pStyle w:val="a4"/>
        <w:jc w:val="right"/>
      </w:pPr>
      <w:r>
        <w:lastRenderedPageBreak/>
        <w:t>ПРИЛОЖЕНИЕ № 1</w:t>
      </w:r>
      <w:r>
        <w:br/>
      </w:r>
      <w:r>
        <w:t>к Постановлению Правительства</w:t>
      </w:r>
      <w:r>
        <w:br/>
      </w:r>
      <w:r>
        <w:t>Приднестровской Молдавской</w:t>
      </w:r>
      <w:r>
        <w:br/>
      </w:r>
      <w:r>
        <w:t>Республики</w:t>
      </w:r>
      <w:r>
        <w:br/>
      </w:r>
      <w:r>
        <w:t>от 20 марта 2019 года</w:t>
      </w:r>
      <w:r>
        <w:t xml:space="preserve"> № 92</w:t>
      </w:r>
    </w:p>
    <w:p w:rsidR="00D57E55" w:rsidRPr="00E71ECE" w:rsidRDefault="008A2B59" w:rsidP="00E71ECE">
      <w:pPr>
        <w:pStyle w:val="1"/>
        <w:spacing w:before="120" w:after="120"/>
        <w:ind w:firstLine="482"/>
        <w:jc w:val="center"/>
        <w:rPr>
          <w:rFonts w:ascii="Times New Roman" w:hAnsi="Times New Roman" w:cs="Times New Roman"/>
          <w:color w:val="auto"/>
          <w:sz w:val="36"/>
        </w:rPr>
      </w:pPr>
      <w:r w:rsidRPr="00E71ECE">
        <w:rPr>
          <w:rFonts w:ascii="Times New Roman" w:hAnsi="Times New Roman" w:cs="Times New Roman"/>
          <w:color w:val="auto"/>
          <w:sz w:val="36"/>
        </w:rPr>
        <w:t>ПОРЯДОК</w:t>
      </w:r>
      <w:r w:rsidRPr="00E71ECE">
        <w:rPr>
          <w:rFonts w:ascii="Times New Roman" w:hAnsi="Times New Roman" w:cs="Times New Roman"/>
          <w:color w:val="auto"/>
          <w:sz w:val="36"/>
        </w:rPr>
        <w:br/>
        <w:t>перераспределения бюджетных средств республиканского (местного) бюджета</w:t>
      </w:r>
    </w:p>
    <w:p w:rsidR="00D57E55" w:rsidRDefault="008A2B59">
      <w:pPr>
        <w:ind w:firstLine="480"/>
        <w:jc w:val="both"/>
      </w:pPr>
      <w:r>
        <w:t xml:space="preserve">1. Перераспределение средств республиканского (местного) бюджета между разделами функциональной классификации расходов в пределах суммы расходов, утвержденной законом о </w:t>
      </w:r>
      <w:r>
        <w:t>республиканском бюджете (решением соответствующего совета народных депутатов города (района)) на соответствующий год, производится путем внесения изменений в данный закон (решение совета народных депутатов).</w:t>
      </w:r>
    </w:p>
    <w:p w:rsidR="00D57E55" w:rsidRDefault="008A2B59">
      <w:pPr>
        <w:ind w:firstLine="480"/>
        <w:jc w:val="both"/>
      </w:pPr>
      <w:r>
        <w:t>2. Перераспределение средств республиканского (м</w:t>
      </w:r>
      <w:r>
        <w:t>естного) бюджета в пределах утвержденной годовой суммы ассигнований по разделу (подразделу) функциональной бюджетной классификации расходов, за исключением перераспределения плановых лимитов по статьям "Оплата труда" (код 110100), "Начисления на оплату тру</w:t>
      </w:r>
      <w:r>
        <w:t>да (страховые взносы на государственное социальное страхование граждан)" (код 110200), "Медикаменты и перевязочные средства и прочие лечебные расходы" (код 110310), "Продукты питания" (код 110330), "Оплата услуг связи" (код 110600), "Оплата тепловой энерги</w:t>
      </w:r>
      <w:r>
        <w:t>и" (код 110720), "Оплата освещения помещений" (код 110730), "Оплата водоснабжения помещений" (код 110740), "Оплата льгот по коммунальным услугам" (код 110770), "Оплата газа" (код 110780), "Молочные смеси для детей" (код 111053), "Трансферты на покрытие пот</w:t>
      </w:r>
      <w:r>
        <w:t>ерь от предоставления льгот по транспорту" (код 130120), "Стипендии" (код 130550), на другие статьи расходов экономической бюджетной классификации осуществляется Министерством финансов Приднестровской Молдавской Республики (государственными администрациями</w:t>
      </w:r>
      <w:r>
        <w:t xml:space="preserve"> городов (районов)) исключительно на основе обоснованных обращений главных распорядителей бюджетных средств.</w:t>
      </w:r>
    </w:p>
    <w:p w:rsidR="00D57E55" w:rsidRDefault="008A2B59">
      <w:pPr>
        <w:ind w:firstLine="480"/>
        <w:jc w:val="both"/>
      </w:pPr>
      <w:r>
        <w:t>Экономия плановых лимитов по статьям "Медикаменты и перевязочные средства и прочие лечебные расходы" (код 110310), "Продукты питания" (код 110330),</w:t>
      </w:r>
      <w:r>
        <w:t xml:space="preserve"> "Оплата услуг связи" (код 110600), "Оплата тепловой энергии" (код 110720), "Оплата освещения помещений" (код 110730), "Оплата водоснабжения помещений" (код 110740), "Оплата льгот по коммунальным услугам" (код 110770), "Оплата газа" (код 110780), "Молочные</w:t>
      </w:r>
      <w:r>
        <w:t xml:space="preserve"> смеси для детей" (код 111053), "Трансферты на покрытие потерь от предоставления льгот по транспорту" (код 130120), "Стипендии" (код 130550) направляется на уменьшение дефицита республиканского (местного) бюджета либо увеличение лимитов по другим статьям п</w:t>
      </w:r>
      <w:r>
        <w:t>утем внесения изменений в закон о республиканском бюджете (решение соответствующего совета народных депутатов города (района)) на соответствующий год.</w:t>
      </w:r>
    </w:p>
    <w:p w:rsidR="00D57E55" w:rsidRDefault="008A2B59">
      <w:pPr>
        <w:ind w:firstLine="480"/>
        <w:jc w:val="both"/>
      </w:pPr>
      <w:r>
        <w:t xml:space="preserve">Увеличение плановых лимитов республиканского (местного) бюджета по статьям "Оплата труда" (код 110100) и </w:t>
      </w:r>
      <w:r>
        <w:t>"Начисления на оплату труда (страховые взносы на государственное социальное страхование граждан)" (код 110200) за счет других статей экономической классификации расходов бюджета не допускается, за исключением внесения изменений в закон о республиканском бю</w:t>
      </w:r>
      <w:r>
        <w:t>джете (решение соответствующего совета народных депутатов города (района)) на соответствующий год.</w:t>
      </w:r>
    </w:p>
    <w:p w:rsidR="00D57E55" w:rsidRDefault="008A2B59">
      <w:pPr>
        <w:ind w:firstLine="480"/>
        <w:jc w:val="both"/>
      </w:pPr>
      <w:r>
        <w:t xml:space="preserve">Перераспределение средств республиканского (местного) бюджета в пределах утвержденной суммы ассигнований по разделу (подразделу) функциональной бюджетной </w:t>
      </w:r>
      <w:r>
        <w:lastRenderedPageBreak/>
        <w:t>кла</w:t>
      </w:r>
      <w:r>
        <w:t>ссификации расходов со статьи "Денежная компенсация (взамен продовольственного пайка)" (код 111055) допускается исключительно на статью "Начисления на оплату труда (страховые взносы на государственное социальное страхование граждан)" (код 110200) и осущест</w:t>
      </w:r>
      <w:r>
        <w:t>вляется Министерством финансов Приднестровской Молдавской Республики (государственными администрациями городов (районов)) на основе обоснованных обращений главных распорядителей бюджетных средств.</w:t>
      </w:r>
    </w:p>
    <w:p w:rsidR="00D57E55" w:rsidRDefault="008A2B59">
      <w:pPr>
        <w:ind w:firstLine="480"/>
        <w:jc w:val="both"/>
      </w:pPr>
      <w:r>
        <w:t>Перераспределение средств республиканского (местного) бюдже</w:t>
      </w:r>
      <w:r>
        <w:t>та в пределах утвержденной суммы ассигнований по разделу (подразделу) функциональной бюджетной классификации расходов между статьями экономической классификации расходов "Оплата труда" (код 110100) и "Начисления на оплату труда (страховые взносы на государ</w:t>
      </w:r>
      <w:r>
        <w:t>ственное социальное страхование граждан)" (код 110200) осуществляется Министерством финансов Приднестровской Молдавской Республики (государственными администрациями городов (районов)) на основе обоснованных обращений главных распорядителей бюджетных средст</w:t>
      </w:r>
      <w:r>
        <w:t>в.</w:t>
      </w:r>
    </w:p>
    <w:p w:rsidR="00D57E55" w:rsidRDefault="008A2B59">
      <w:pPr>
        <w:ind w:firstLine="480"/>
        <w:jc w:val="both"/>
      </w:pPr>
      <w:r>
        <w:t>Уменьшение плановых лимитов республиканского бюджета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 по статьям экономи</w:t>
      </w:r>
      <w:r>
        <w:t xml:space="preserve">ческой классификации "Пенсии и пожизненное содержание" (код 130510), "Денежные компенсации" (код 130650), а также по всем разделам по подстатьям экономической классификации расходов "Мягкий инвентарь и обмундирование" (код 110320), "Переподготовка кадров" </w:t>
      </w:r>
      <w:r>
        <w:t>(код 111044), "Вневедомственная охрана" (код 111050), "Денежное вознаграждение за выполненные работы, услуги" (код 111 058), "Товары и услуги, не отнесенные к другим подстатьям" (код 111 070) - за исключением Администрации Президента Приднестровской Молдав</w:t>
      </w:r>
      <w:r>
        <w:t>ской Республики, "Приобретение непроизводственного оборудования и предметов длительного пользования для государственных учреждений" (код 240120) с целью увеличения лимитов расходов по иным направлениям расходов республиканского бюджета производится путем в</w:t>
      </w:r>
      <w:r>
        <w:t>несения изменений в Закон о республиканском бюджете, за исключением случаев, предусмотренных частью седьмой настоящего пункта.</w:t>
      </w:r>
    </w:p>
    <w:p w:rsidR="00D57E55" w:rsidRDefault="008A2B59">
      <w:pPr>
        <w:ind w:firstLine="480"/>
        <w:jc w:val="both"/>
      </w:pPr>
      <w:r>
        <w:t>По обращению исполнительного органа государственной власти, в ведении которого находятся вопросы здравоохранения, допускается пер</w:t>
      </w:r>
      <w:r>
        <w:t>ераспределение средств по разделу функциональной классификации расходов 1600 "Здравоохранение" с подстатей экономической классификации расходов "Мягкий инвентарь и обмундирование" (код 110320), "Переподготовка кадров" (код 111044), "Вневедомственная охрана</w:t>
      </w:r>
      <w:r>
        <w:t>" (код 111050), "Товары и услуги, не отнесенные к другим подстатьям" (код 111070), "Приобретение непроизводственного оборудования и предметов длительного пользования для государственных учреждений" (код 240120) на иные статьи и подстатьи экономической клас</w:t>
      </w:r>
      <w:r>
        <w:t>сификации расходов Министерством финансов Приднестровской Молдавской Республики в порядке, установленном настоящим Постановлением.</w:t>
      </w:r>
    </w:p>
    <w:p w:rsidR="00D57E55" w:rsidRDefault="008A2B59">
      <w:pPr>
        <w:ind w:firstLine="480"/>
        <w:jc w:val="both"/>
      </w:pPr>
      <w:r>
        <w:t xml:space="preserve">3. В целях погашения санкционированной кредиторской задолженности по коммунальным услугам, образовавшейся по состоянию на 1 </w:t>
      </w:r>
      <w:r>
        <w:t>января соответствующего финансового года в пределах недофинансирования в рамках выделенных лимитов средств бюджетов различных уровней предыдущих периодов, разрешить перераспределение с других статей экономической классификации расходов на увеличение статей</w:t>
      </w:r>
      <w:r>
        <w:t xml:space="preserve"> "Оплата тепловой энергии" (код 110720), "Оплата освещения помещений" (код 110730), "Оплата водоснабжения помещений" (код 110740), "Оплата газа" (код 110780).</w:t>
      </w:r>
    </w:p>
    <w:p w:rsidR="00E71ECE" w:rsidRDefault="00E71ECE">
      <w:pPr>
        <w:pStyle w:val="a4"/>
        <w:jc w:val="right"/>
      </w:pPr>
    </w:p>
    <w:p w:rsidR="00E71ECE" w:rsidRDefault="00E71ECE">
      <w:pPr>
        <w:pStyle w:val="a4"/>
        <w:jc w:val="right"/>
      </w:pPr>
    </w:p>
    <w:p w:rsidR="00D57E55" w:rsidRDefault="008A2B59">
      <w:pPr>
        <w:pStyle w:val="a4"/>
        <w:jc w:val="right"/>
      </w:pPr>
      <w:r>
        <w:lastRenderedPageBreak/>
        <w:t>ПРИЛОЖЕНИЕ № 2</w:t>
      </w:r>
      <w:r>
        <w:br/>
      </w:r>
      <w:r>
        <w:t>к Постановлению Правительства</w:t>
      </w:r>
      <w:r>
        <w:br/>
      </w:r>
      <w:r>
        <w:t>Приднестровской Молдавской</w:t>
      </w:r>
      <w:r>
        <w:br/>
      </w:r>
      <w:r>
        <w:t>Республики</w:t>
      </w:r>
      <w:r>
        <w:br/>
      </w:r>
      <w:r>
        <w:t>от 20 марта 20</w:t>
      </w:r>
      <w:r>
        <w:t>19 года № 92</w:t>
      </w:r>
    </w:p>
    <w:p w:rsidR="00D57E55" w:rsidRPr="00E71ECE" w:rsidRDefault="008A2B59" w:rsidP="00E71ECE">
      <w:pPr>
        <w:pStyle w:val="1"/>
        <w:spacing w:before="120" w:after="120"/>
        <w:ind w:firstLine="482"/>
        <w:jc w:val="center"/>
        <w:rPr>
          <w:rFonts w:ascii="Times New Roman" w:hAnsi="Times New Roman" w:cs="Times New Roman"/>
          <w:color w:val="auto"/>
          <w:sz w:val="36"/>
        </w:rPr>
      </w:pPr>
      <w:r w:rsidRPr="00E71ECE">
        <w:rPr>
          <w:rFonts w:ascii="Times New Roman" w:hAnsi="Times New Roman" w:cs="Times New Roman"/>
          <w:color w:val="auto"/>
          <w:sz w:val="36"/>
        </w:rPr>
        <w:t>ПОЛОЖЕНИЕ</w:t>
      </w:r>
      <w:r w:rsidRPr="00E71ECE">
        <w:rPr>
          <w:rFonts w:ascii="Times New Roman" w:hAnsi="Times New Roman" w:cs="Times New Roman"/>
          <w:color w:val="auto"/>
          <w:sz w:val="36"/>
        </w:rPr>
        <w:br/>
        <w:t>о перераспределении бюджетных средств республиканского (местного) бюджета по разделу (подразделу) функциональной бюджетной классификации расходов</w:t>
      </w:r>
    </w:p>
    <w:p w:rsidR="00D57E55" w:rsidRDefault="008A2B59">
      <w:pPr>
        <w:ind w:firstLine="480"/>
        <w:jc w:val="both"/>
      </w:pPr>
      <w:r>
        <w:t>1. Перераспределение средств республиканского (местного) бюджета осуществляется в следу</w:t>
      </w:r>
      <w:r>
        <w:t>ющем порядке: главные распорядители бюджетных средств направляют в Министерство финансов Приднестровской Молдавской Республики (государственные администрации городов (районов)) сводную заявку о перераспределении бюджетных средств, запланированных на финанс</w:t>
      </w:r>
      <w:r>
        <w:t>ирование органов государственной власти и управления, учреждений, в пределах годовой суммы ассигнований по основному разделу, подразделу функциональной классификации, организационному коду, целевой статье, виду расходов, предметной статье, подстатье, элеме</w:t>
      </w:r>
      <w:r>
        <w:t>нту расходов с обоснованием необходимости и возможности перераспределения по форме согласно Приложению к настоящему Положению.</w:t>
      </w:r>
    </w:p>
    <w:p w:rsidR="00D57E55" w:rsidRDefault="008A2B59">
      <w:pPr>
        <w:ind w:firstLine="480"/>
        <w:jc w:val="both"/>
      </w:pPr>
      <w:r>
        <w:t>2. При наличии лимитов бюджетных средств по состоянию на день обращений главных распорядителей кредитов Министерством финансов Пр</w:t>
      </w:r>
      <w:r>
        <w:t>иднестровской Молдавской Республики (государственными администрациями городов (районов)) оформляется соответствующее распоряжение о перераспределении бюджетных средств, вносятся изменения в роспись республиканского (местного) бюджета, о чем уведомляются гл</w:t>
      </w:r>
      <w:r>
        <w:t>авные распорядители бюджетных средств.</w:t>
      </w:r>
    </w:p>
    <w:p w:rsidR="00D57E55" w:rsidRDefault="008A2B59">
      <w:pPr>
        <w:ind w:firstLine="480"/>
        <w:jc w:val="both"/>
      </w:pPr>
      <w:r>
        <w:t>3. Изменения в роспись республиканского (местного) бюджета Министерство финансов Приднестровской Молдавской Республики (государственные администрации городов (районов)) вправе вносить только в отчетном периоде.</w:t>
      </w:r>
    </w:p>
    <w:p w:rsidR="00D57E55" w:rsidRDefault="008A2B59">
      <w:pPr>
        <w:ind w:firstLine="480"/>
        <w:jc w:val="both"/>
      </w:pPr>
      <w:r>
        <w:t>4. Мин</w:t>
      </w:r>
      <w:r>
        <w:t>истерство финансов Приднестровской Молдавской Республики (государственные администрации городов (районов)) имеют право отказать в перераспределении бюджетных средств в случаях:</w:t>
      </w:r>
    </w:p>
    <w:p w:rsidR="00D57E55" w:rsidRDefault="008A2B59">
      <w:pPr>
        <w:ind w:firstLine="480"/>
        <w:jc w:val="both"/>
      </w:pPr>
      <w:r>
        <w:t>а) отсутствия либо недостаточности аргументов, приведенных в обосновании главны</w:t>
      </w:r>
      <w:r>
        <w:t>х распорядителей кредитов, о необходимости перераспределения средств как при уменьшении, так и при увеличении лимитов по разделу, подразделу, организационному коду, целевой статье, виду расходов, предметной статье, подстатье, элементу расходов;</w:t>
      </w:r>
    </w:p>
    <w:p w:rsidR="00D57E55" w:rsidRDefault="008A2B59">
      <w:pPr>
        <w:ind w:firstLine="480"/>
        <w:jc w:val="both"/>
      </w:pPr>
      <w:r>
        <w:t>б) недостат</w:t>
      </w:r>
      <w:r>
        <w:t>очности лимитов по уменьшаемому разделу, подразделу, организационному коду, целевой статье, виду расходов, предметной статье, подстатье, элементу расходов;</w:t>
      </w:r>
    </w:p>
    <w:p w:rsidR="00D57E55" w:rsidRDefault="008A2B59">
      <w:pPr>
        <w:ind w:firstLine="480"/>
        <w:jc w:val="both"/>
      </w:pPr>
      <w:r>
        <w:t>в) роста кредиторской задолженности в нарушение норм, установленных законом о бюджете (решением соот</w:t>
      </w:r>
      <w:r>
        <w:t>ветствующего совета народных депутатов) на текущий финансовый год;</w:t>
      </w:r>
    </w:p>
    <w:p w:rsidR="00D57E55" w:rsidRDefault="008A2B59">
      <w:pPr>
        <w:ind w:firstLine="480"/>
        <w:jc w:val="both"/>
      </w:pPr>
      <w:r>
        <w:t>г) несоблюдения норм закона о бюджете (решения соответствующего совета народных депутатов) на текущий финансовый год и норм настоящего Постановления.</w:t>
      </w:r>
    </w:p>
    <w:p w:rsidR="00D57E55" w:rsidRDefault="008A2B59">
      <w:pPr>
        <w:ind w:firstLine="480"/>
        <w:jc w:val="both"/>
      </w:pPr>
      <w:r>
        <w:t>5. Министерство финансов Приднестровско</w:t>
      </w:r>
      <w:r>
        <w:t>й Молдавской Республики (государственные администрации городов (районов)) в обязательном порядке уведомляют главных распорядителей кредитов об отказе в перераспределении бюджетных средств.</w:t>
      </w:r>
    </w:p>
    <w:p w:rsidR="00E71ECE" w:rsidRPr="00C041D2" w:rsidRDefault="00E71ECE" w:rsidP="00E71ECE">
      <w:pPr>
        <w:shd w:val="clear" w:color="auto" w:fill="FFFFFF"/>
        <w:spacing w:before="100" w:beforeAutospacing="1" w:after="100" w:afterAutospacing="1"/>
        <w:jc w:val="right"/>
      </w:pPr>
      <w:bookmarkStart w:id="0" w:name="_GoBack"/>
      <w:bookmarkEnd w:id="0"/>
      <w:r w:rsidRPr="00502990">
        <w:rPr>
          <w:sz w:val="28"/>
          <w:szCs w:val="28"/>
        </w:rPr>
        <w:lastRenderedPageBreak/>
        <w:t xml:space="preserve"> Приложение к Положению </w:t>
      </w:r>
      <w:r>
        <w:rPr>
          <w:sz w:val="28"/>
          <w:szCs w:val="28"/>
        </w:rPr>
        <w:br/>
      </w:r>
      <w:r w:rsidRPr="00502990">
        <w:rPr>
          <w:sz w:val="28"/>
          <w:szCs w:val="28"/>
        </w:rPr>
        <w:t xml:space="preserve">о перераспределении бюджетных </w:t>
      </w:r>
      <w:r>
        <w:rPr>
          <w:sz w:val="28"/>
          <w:szCs w:val="28"/>
        </w:rPr>
        <w:br/>
      </w:r>
      <w:r w:rsidRPr="00502990">
        <w:rPr>
          <w:sz w:val="28"/>
          <w:szCs w:val="28"/>
        </w:rPr>
        <w:t xml:space="preserve">средств республиканского </w:t>
      </w:r>
      <w:r>
        <w:rPr>
          <w:sz w:val="28"/>
          <w:szCs w:val="28"/>
        </w:rPr>
        <w:br/>
      </w:r>
      <w:r w:rsidRPr="00502990">
        <w:rPr>
          <w:sz w:val="28"/>
          <w:szCs w:val="28"/>
        </w:rPr>
        <w:t>(местного) бюджета по разделу (подразделу) функциональной</w:t>
      </w:r>
      <w:r>
        <w:rPr>
          <w:sz w:val="28"/>
          <w:szCs w:val="28"/>
        </w:rPr>
        <w:t xml:space="preserve"> </w:t>
      </w:r>
      <w:r>
        <w:rPr>
          <w:sz w:val="28"/>
          <w:szCs w:val="28"/>
        </w:rPr>
        <w:br/>
      </w:r>
      <w:r w:rsidRPr="00502990">
        <w:rPr>
          <w:sz w:val="28"/>
          <w:szCs w:val="28"/>
        </w:rPr>
        <w:t>бюджетной классификации расходов</w:t>
      </w:r>
    </w:p>
    <w:p w:rsidR="00E71ECE" w:rsidRDefault="00E71ECE" w:rsidP="00E71ECE">
      <w:pPr>
        <w:shd w:val="clear" w:color="auto" w:fill="FFFFFF"/>
        <w:jc w:val="center"/>
      </w:pPr>
      <w:r>
        <w:t>СВОДНАЯ ЗАЯВКА</w:t>
      </w:r>
      <w:r>
        <w:br/>
        <w:t xml:space="preserve">О ПЕРЕРАСПРЕДЕЛЕНИИ СРЕДСТВ </w:t>
      </w:r>
    </w:p>
    <w:p w:rsidR="00E71ECE" w:rsidRDefault="00E71ECE" w:rsidP="00E71ECE">
      <w:pPr>
        <w:autoSpaceDE w:val="0"/>
        <w:autoSpaceDN w:val="0"/>
        <w:adjustRightInd w:val="0"/>
        <w:jc w:val="center"/>
      </w:pPr>
    </w:p>
    <w:p w:rsidR="00E71ECE" w:rsidRDefault="00E71ECE" w:rsidP="00E71ECE">
      <w:pPr>
        <w:autoSpaceDE w:val="0"/>
        <w:autoSpaceDN w:val="0"/>
        <w:adjustRightInd w:val="0"/>
        <w:jc w:val="center"/>
      </w:pPr>
      <w:r>
        <w:t xml:space="preserve">по___________________________________________________________________                 </w:t>
      </w:r>
      <w:proofErr w:type="gramStart"/>
      <w:r>
        <w:t xml:space="preserve">   (</w:t>
      </w:r>
      <w:proofErr w:type="gramEnd"/>
      <w:r>
        <w:t>наименование главного распорядителя кредитов)</w:t>
      </w:r>
    </w:p>
    <w:p w:rsidR="00E71ECE" w:rsidRDefault="00E71ECE" w:rsidP="00E71ECE">
      <w:pPr>
        <w:autoSpaceDE w:val="0"/>
        <w:autoSpaceDN w:val="0"/>
        <w:adjustRightInd w:val="0"/>
        <w:jc w:val="center"/>
      </w:pPr>
    </w:p>
    <w:p w:rsidR="00E71ECE" w:rsidRDefault="00E71ECE" w:rsidP="00E71ECE">
      <w:pPr>
        <w:autoSpaceDE w:val="0"/>
        <w:autoSpaceDN w:val="0"/>
        <w:adjustRightInd w:val="0"/>
        <w:ind w:left="8496"/>
        <w:jc w:val="center"/>
      </w:pPr>
      <w:r>
        <w:t xml:space="preserve">     /руб./ </w:t>
      </w:r>
    </w:p>
    <w:tbl>
      <w:tblPr>
        <w:tblW w:w="9565" w:type="dxa"/>
        <w:tblInd w:w="8" w:type="dxa"/>
        <w:tblLayout w:type="fixed"/>
        <w:tblCellMar>
          <w:left w:w="0" w:type="dxa"/>
          <w:right w:w="0" w:type="dxa"/>
        </w:tblCellMar>
        <w:tblLook w:val="0000" w:firstRow="0" w:lastRow="0" w:firstColumn="0" w:lastColumn="0" w:noHBand="0" w:noVBand="0"/>
      </w:tblPr>
      <w:tblGrid>
        <w:gridCol w:w="720"/>
        <w:gridCol w:w="1005"/>
        <w:gridCol w:w="1084"/>
        <w:gridCol w:w="900"/>
        <w:gridCol w:w="961"/>
        <w:gridCol w:w="1198"/>
        <w:gridCol w:w="792"/>
        <w:gridCol w:w="726"/>
        <w:gridCol w:w="726"/>
        <w:gridCol w:w="726"/>
        <w:gridCol w:w="727"/>
      </w:tblGrid>
      <w:tr w:rsidR="00E71ECE" w:rsidRPr="00A47522" w:rsidTr="007E01C1">
        <w:trPr>
          <w:trHeight w:val="795"/>
        </w:trPr>
        <w:tc>
          <w:tcPr>
            <w:tcW w:w="720" w:type="dxa"/>
            <w:vMerge w:val="restart"/>
            <w:tcBorders>
              <w:top w:val="single" w:sz="6" w:space="0" w:color="auto"/>
              <w:left w:val="single" w:sz="6" w:space="0" w:color="auto"/>
              <w:right w:val="single" w:sz="6" w:space="0" w:color="auto"/>
            </w:tcBorders>
            <w:vAlign w:val="center"/>
          </w:tcPr>
          <w:p w:rsidR="00E71ECE" w:rsidRPr="00A47522" w:rsidRDefault="00E71ECE" w:rsidP="007E01C1">
            <w:pPr>
              <w:autoSpaceDE w:val="0"/>
              <w:autoSpaceDN w:val="0"/>
              <w:adjustRightInd w:val="0"/>
              <w:jc w:val="center"/>
              <w:rPr>
                <w:sz w:val="20"/>
              </w:rPr>
            </w:pPr>
            <w:r w:rsidRPr="00A47522">
              <w:rPr>
                <w:sz w:val="20"/>
              </w:rPr>
              <w:t>Раздел</w:t>
            </w:r>
          </w:p>
        </w:tc>
        <w:tc>
          <w:tcPr>
            <w:tcW w:w="1005" w:type="dxa"/>
            <w:vMerge w:val="restart"/>
            <w:tcBorders>
              <w:top w:val="single" w:sz="6" w:space="0" w:color="auto"/>
              <w:left w:val="single" w:sz="6" w:space="0" w:color="auto"/>
              <w:right w:val="single" w:sz="6" w:space="0" w:color="auto"/>
            </w:tcBorders>
            <w:vAlign w:val="center"/>
          </w:tcPr>
          <w:p w:rsidR="00E71ECE" w:rsidRPr="00A47522" w:rsidRDefault="00E71ECE" w:rsidP="007E01C1">
            <w:pPr>
              <w:autoSpaceDE w:val="0"/>
              <w:autoSpaceDN w:val="0"/>
              <w:adjustRightInd w:val="0"/>
              <w:jc w:val="center"/>
              <w:rPr>
                <w:sz w:val="20"/>
              </w:rPr>
            </w:pPr>
            <w:r w:rsidRPr="00A47522">
              <w:rPr>
                <w:sz w:val="20"/>
              </w:rPr>
              <w:t>Подраздел</w:t>
            </w:r>
          </w:p>
        </w:tc>
        <w:tc>
          <w:tcPr>
            <w:tcW w:w="1084" w:type="dxa"/>
            <w:vMerge w:val="restart"/>
            <w:tcBorders>
              <w:top w:val="single" w:sz="6" w:space="0" w:color="auto"/>
              <w:left w:val="single" w:sz="6" w:space="0" w:color="auto"/>
              <w:right w:val="single" w:sz="6" w:space="0" w:color="auto"/>
            </w:tcBorders>
            <w:vAlign w:val="center"/>
          </w:tcPr>
          <w:p w:rsidR="00E71ECE" w:rsidRPr="00A47522" w:rsidRDefault="00E71ECE" w:rsidP="007E01C1">
            <w:pPr>
              <w:autoSpaceDE w:val="0"/>
              <w:autoSpaceDN w:val="0"/>
              <w:adjustRightInd w:val="0"/>
              <w:jc w:val="center"/>
              <w:rPr>
                <w:sz w:val="20"/>
              </w:rPr>
            </w:pPr>
            <w:proofErr w:type="spellStart"/>
            <w:r w:rsidRPr="00A47522">
              <w:rPr>
                <w:sz w:val="20"/>
              </w:rPr>
              <w:t>Организа</w:t>
            </w:r>
            <w:r>
              <w:rPr>
                <w:sz w:val="20"/>
              </w:rPr>
              <w:t>-</w:t>
            </w:r>
            <w:r w:rsidRPr="00A47522">
              <w:rPr>
                <w:sz w:val="20"/>
              </w:rPr>
              <w:t>ционный</w:t>
            </w:r>
            <w:proofErr w:type="spellEnd"/>
            <w:r w:rsidRPr="00A47522">
              <w:rPr>
                <w:sz w:val="20"/>
              </w:rPr>
              <w:t xml:space="preserve"> код</w:t>
            </w:r>
          </w:p>
        </w:tc>
        <w:tc>
          <w:tcPr>
            <w:tcW w:w="900" w:type="dxa"/>
            <w:vMerge w:val="restart"/>
            <w:tcBorders>
              <w:top w:val="single" w:sz="6" w:space="0" w:color="auto"/>
              <w:left w:val="single" w:sz="6" w:space="0" w:color="auto"/>
              <w:right w:val="single" w:sz="6" w:space="0" w:color="auto"/>
            </w:tcBorders>
            <w:vAlign w:val="center"/>
          </w:tcPr>
          <w:p w:rsidR="00E71ECE" w:rsidRPr="00A47522" w:rsidRDefault="00E71ECE" w:rsidP="007E01C1">
            <w:pPr>
              <w:autoSpaceDE w:val="0"/>
              <w:autoSpaceDN w:val="0"/>
              <w:adjustRightInd w:val="0"/>
              <w:ind w:left="-40"/>
              <w:jc w:val="center"/>
              <w:rPr>
                <w:sz w:val="20"/>
                <w:lang w:val="en-US"/>
              </w:rPr>
            </w:pPr>
            <w:r w:rsidRPr="00A47522">
              <w:rPr>
                <w:sz w:val="20"/>
              </w:rPr>
              <w:t>Целевая</w:t>
            </w:r>
          </w:p>
          <w:p w:rsidR="00E71ECE" w:rsidRPr="00A47522" w:rsidRDefault="00E71ECE" w:rsidP="007E01C1">
            <w:pPr>
              <w:autoSpaceDE w:val="0"/>
              <w:autoSpaceDN w:val="0"/>
              <w:adjustRightInd w:val="0"/>
              <w:jc w:val="center"/>
              <w:rPr>
                <w:sz w:val="20"/>
              </w:rPr>
            </w:pPr>
            <w:r w:rsidRPr="00A47522">
              <w:rPr>
                <w:sz w:val="20"/>
              </w:rPr>
              <w:t>статья</w:t>
            </w:r>
          </w:p>
        </w:tc>
        <w:tc>
          <w:tcPr>
            <w:tcW w:w="961" w:type="dxa"/>
            <w:vMerge w:val="restart"/>
            <w:tcBorders>
              <w:top w:val="single" w:sz="6" w:space="0" w:color="auto"/>
              <w:left w:val="single" w:sz="6" w:space="0" w:color="auto"/>
              <w:right w:val="single" w:sz="6" w:space="0" w:color="auto"/>
            </w:tcBorders>
            <w:vAlign w:val="center"/>
          </w:tcPr>
          <w:p w:rsidR="00E71ECE" w:rsidRDefault="00E71ECE" w:rsidP="007E01C1">
            <w:pPr>
              <w:autoSpaceDE w:val="0"/>
              <w:autoSpaceDN w:val="0"/>
              <w:adjustRightInd w:val="0"/>
              <w:jc w:val="center"/>
              <w:rPr>
                <w:sz w:val="20"/>
              </w:rPr>
            </w:pPr>
            <w:r w:rsidRPr="00A47522">
              <w:rPr>
                <w:sz w:val="20"/>
              </w:rPr>
              <w:t>Вид</w:t>
            </w:r>
          </w:p>
          <w:p w:rsidR="00E71ECE" w:rsidRPr="00A47522" w:rsidRDefault="00E71ECE" w:rsidP="007E01C1">
            <w:pPr>
              <w:autoSpaceDE w:val="0"/>
              <w:autoSpaceDN w:val="0"/>
              <w:adjustRightInd w:val="0"/>
              <w:ind w:left="-180" w:firstLine="180"/>
              <w:jc w:val="center"/>
              <w:rPr>
                <w:sz w:val="20"/>
              </w:rPr>
            </w:pPr>
            <w:r w:rsidRPr="00A47522">
              <w:rPr>
                <w:sz w:val="20"/>
              </w:rPr>
              <w:t xml:space="preserve"> расходов</w:t>
            </w:r>
          </w:p>
        </w:tc>
        <w:tc>
          <w:tcPr>
            <w:tcW w:w="1198" w:type="dxa"/>
            <w:vMerge w:val="restart"/>
            <w:tcBorders>
              <w:top w:val="single" w:sz="6" w:space="0" w:color="auto"/>
              <w:left w:val="single" w:sz="6" w:space="0" w:color="auto"/>
              <w:right w:val="single" w:sz="6" w:space="0" w:color="auto"/>
            </w:tcBorders>
            <w:vAlign w:val="center"/>
          </w:tcPr>
          <w:p w:rsidR="00E71ECE" w:rsidRPr="00A47522" w:rsidRDefault="00E71ECE" w:rsidP="007E01C1">
            <w:pPr>
              <w:autoSpaceDE w:val="0"/>
              <w:autoSpaceDN w:val="0"/>
              <w:adjustRightInd w:val="0"/>
              <w:jc w:val="center"/>
              <w:rPr>
                <w:sz w:val="20"/>
              </w:rPr>
            </w:pPr>
            <w:r w:rsidRPr="00A47522">
              <w:rPr>
                <w:sz w:val="20"/>
              </w:rPr>
              <w:t>Предметная статья, подстатья, элемент расходов</w:t>
            </w:r>
          </w:p>
        </w:tc>
        <w:tc>
          <w:tcPr>
            <w:tcW w:w="792" w:type="dxa"/>
            <w:vMerge w:val="restart"/>
            <w:tcBorders>
              <w:top w:val="single" w:sz="6" w:space="0" w:color="auto"/>
              <w:left w:val="single" w:sz="6" w:space="0" w:color="auto"/>
              <w:right w:val="single" w:sz="6" w:space="0" w:color="auto"/>
            </w:tcBorders>
            <w:vAlign w:val="center"/>
          </w:tcPr>
          <w:p w:rsidR="00E71ECE" w:rsidRDefault="00E71ECE" w:rsidP="007E01C1">
            <w:pPr>
              <w:autoSpaceDE w:val="0"/>
              <w:autoSpaceDN w:val="0"/>
              <w:adjustRightInd w:val="0"/>
              <w:jc w:val="center"/>
              <w:rPr>
                <w:sz w:val="20"/>
                <w:lang w:val="en-US"/>
              </w:rPr>
            </w:pPr>
            <w:r w:rsidRPr="00A47522">
              <w:rPr>
                <w:sz w:val="20"/>
              </w:rPr>
              <w:t>20___</w:t>
            </w:r>
          </w:p>
          <w:p w:rsidR="00E71ECE" w:rsidRPr="00A47522" w:rsidRDefault="00E71ECE" w:rsidP="007E01C1">
            <w:pPr>
              <w:autoSpaceDE w:val="0"/>
              <w:autoSpaceDN w:val="0"/>
              <w:adjustRightInd w:val="0"/>
              <w:jc w:val="center"/>
              <w:rPr>
                <w:sz w:val="20"/>
              </w:rPr>
            </w:pPr>
            <w:r w:rsidRPr="00A47522">
              <w:rPr>
                <w:sz w:val="20"/>
              </w:rPr>
              <w:t>год</w:t>
            </w:r>
          </w:p>
        </w:tc>
        <w:tc>
          <w:tcPr>
            <w:tcW w:w="2905" w:type="dxa"/>
            <w:gridSpan w:val="4"/>
            <w:tcBorders>
              <w:top w:val="single" w:sz="6" w:space="0" w:color="auto"/>
              <w:left w:val="single" w:sz="6" w:space="0" w:color="auto"/>
              <w:bottom w:val="single" w:sz="4" w:space="0" w:color="auto"/>
              <w:right w:val="single" w:sz="6" w:space="0" w:color="auto"/>
            </w:tcBorders>
            <w:vAlign w:val="center"/>
          </w:tcPr>
          <w:p w:rsidR="00E71ECE" w:rsidRPr="00E32BFE" w:rsidRDefault="00E71ECE" w:rsidP="007E01C1">
            <w:pPr>
              <w:autoSpaceDE w:val="0"/>
              <w:autoSpaceDN w:val="0"/>
              <w:adjustRightInd w:val="0"/>
              <w:jc w:val="center"/>
              <w:rPr>
                <w:sz w:val="20"/>
              </w:rPr>
            </w:pPr>
            <w:r w:rsidRPr="00A47522">
              <w:rPr>
                <w:sz w:val="20"/>
              </w:rPr>
              <w:t>в том числе по кварталам</w:t>
            </w:r>
          </w:p>
        </w:tc>
      </w:tr>
      <w:tr w:rsidR="00E71ECE" w:rsidTr="007E01C1">
        <w:trPr>
          <w:trHeight w:val="585"/>
        </w:trPr>
        <w:tc>
          <w:tcPr>
            <w:tcW w:w="720" w:type="dxa"/>
            <w:vMerge/>
            <w:tcBorders>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005" w:type="dxa"/>
            <w:vMerge/>
            <w:tcBorders>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084" w:type="dxa"/>
            <w:vMerge/>
            <w:tcBorders>
              <w:left w:val="single" w:sz="6" w:space="0" w:color="auto"/>
              <w:bottom w:val="single" w:sz="6" w:space="0" w:color="auto"/>
              <w:right w:val="single" w:sz="6" w:space="0" w:color="auto"/>
            </w:tcBorders>
          </w:tcPr>
          <w:p w:rsidR="00E71ECE" w:rsidRDefault="00E71ECE" w:rsidP="007E01C1">
            <w:pPr>
              <w:autoSpaceDE w:val="0"/>
              <w:autoSpaceDN w:val="0"/>
              <w:adjustRightInd w:val="0"/>
              <w:jc w:val="center"/>
            </w:pPr>
          </w:p>
        </w:tc>
        <w:tc>
          <w:tcPr>
            <w:tcW w:w="900" w:type="dxa"/>
            <w:vMerge/>
            <w:tcBorders>
              <w:left w:val="single" w:sz="6" w:space="0" w:color="auto"/>
              <w:bottom w:val="single" w:sz="6" w:space="0" w:color="auto"/>
              <w:right w:val="single" w:sz="6" w:space="0" w:color="auto"/>
            </w:tcBorders>
          </w:tcPr>
          <w:p w:rsidR="00E71ECE" w:rsidRDefault="00E71ECE" w:rsidP="007E01C1">
            <w:pPr>
              <w:autoSpaceDE w:val="0"/>
              <w:autoSpaceDN w:val="0"/>
              <w:adjustRightInd w:val="0"/>
              <w:ind w:left="-491"/>
              <w:jc w:val="right"/>
            </w:pPr>
          </w:p>
        </w:tc>
        <w:tc>
          <w:tcPr>
            <w:tcW w:w="961" w:type="dxa"/>
            <w:vMerge/>
            <w:tcBorders>
              <w:left w:val="single" w:sz="6" w:space="0" w:color="auto"/>
              <w:bottom w:val="single" w:sz="6" w:space="0" w:color="auto"/>
              <w:right w:val="single" w:sz="6" w:space="0" w:color="auto"/>
            </w:tcBorders>
          </w:tcPr>
          <w:p w:rsidR="00E71ECE" w:rsidRDefault="00E71ECE" w:rsidP="007E01C1">
            <w:pPr>
              <w:autoSpaceDE w:val="0"/>
              <w:autoSpaceDN w:val="0"/>
              <w:adjustRightInd w:val="0"/>
              <w:jc w:val="center"/>
            </w:pPr>
          </w:p>
        </w:tc>
        <w:tc>
          <w:tcPr>
            <w:tcW w:w="1198" w:type="dxa"/>
            <w:vMerge/>
            <w:tcBorders>
              <w:left w:val="single" w:sz="6" w:space="0" w:color="auto"/>
              <w:bottom w:val="single" w:sz="6" w:space="0" w:color="auto"/>
              <w:right w:val="single" w:sz="6" w:space="0" w:color="auto"/>
            </w:tcBorders>
          </w:tcPr>
          <w:p w:rsidR="00E71ECE" w:rsidRDefault="00E71ECE" w:rsidP="007E01C1">
            <w:pPr>
              <w:autoSpaceDE w:val="0"/>
              <w:autoSpaceDN w:val="0"/>
              <w:adjustRightInd w:val="0"/>
              <w:jc w:val="center"/>
            </w:pPr>
          </w:p>
        </w:tc>
        <w:tc>
          <w:tcPr>
            <w:tcW w:w="792" w:type="dxa"/>
            <w:vMerge/>
            <w:tcBorders>
              <w:left w:val="single" w:sz="6" w:space="0" w:color="auto"/>
              <w:bottom w:val="single" w:sz="6" w:space="0" w:color="auto"/>
              <w:right w:val="single" w:sz="6" w:space="0" w:color="auto"/>
            </w:tcBorders>
          </w:tcPr>
          <w:p w:rsidR="00E71ECE" w:rsidRDefault="00E71ECE" w:rsidP="007E01C1">
            <w:pPr>
              <w:autoSpaceDE w:val="0"/>
              <w:autoSpaceDN w:val="0"/>
              <w:adjustRightInd w:val="0"/>
              <w:jc w:val="center"/>
            </w:pPr>
          </w:p>
        </w:tc>
        <w:tc>
          <w:tcPr>
            <w:tcW w:w="726" w:type="dxa"/>
            <w:tcBorders>
              <w:top w:val="single" w:sz="4" w:space="0" w:color="auto"/>
              <w:left w:val="single" w:sz="6" w:space="0" w:color="auto"/>
              <w:bottom w:val="single" w:sz="6" w:space="0" w:color="auto"/>
              <w:right w:val="single" w:sz="4" w:space="0" w:color="auto"/>
            </w:tcBorders>
            <w:vAlign w:val="center"/>
          </w:tcPr>
          <w:p w:rsidR="00E71ECE" w:rsidRPr="00A47522" w:rsidRDefault="00E71ECE" w:rsidP="007E01C1">
            <w:pPr>
              <w:autoSpaceDE w:val="0"/>
              <w:autoSpaceDN w:val="0"/>
              <w:adjustRightInd w:val="0"/>
              <w:jc w:val="center"/>
              <w:rPr>
                <w:sz w:val="20"/>
              </w:rPr>
            </w:pPr>
            <w:r w:rsidRPr="00A47522">
              <w:rPr>
                <w:sz w:val="20"/>
                <w:lang w:val="en-US"/>
              </w:rPr>
              <w:t>I</w:t>
            </w:r>
          </w:p>
        </w:tc>
        <w:tc>
          <w:tcPr>
            <w:tcW w:w="726" w:type="dxa"/>
            <w:tcBorders>
              <w:top w:val="single" w:sz="4" w:space="0" w:color="auto"/>
              <w:left w:val="single" w:sz="4" w:space="0" w:color="auto"/>
              <w:bottom w:val="single" w:sz="6" w:space="0" w:color="auto"/>
              <w:right w:val="single" w:sz="4" w:space="0" w:color="auto"/>
            </w:tcBorders>
            <w:vAlign w:val="center"/>
          </w:tcPr>
          <w:p w:rsidR="00E71ECE" w:rsidRPr="00A47522" w:rsidRDefault="00E71ECE" w:rsidP="007E01C1">
            <w:pPr>
              <w:autoSpaceDE w:val="0"/>
              <w:autoSpaceDN w:val="0"/>
              <w:adjustRightInd w:val="0"/>
              <w:jc w:val="center"/>
              <w:rPr>
                <w:sz w:val="20"/>
              </w:rPr>
            </w:pPr>
            <w:r w:rsidRPr="00A47522">
              <w:rPr>
                <w:sz w:val="20"/>
                <w:lang w:val="en-US"/>
              </w:rPr>
              <w:t>II</w:t>
            </w:r>
          </w:p>
        </w:tc>
        <w:tc>
          <w:tcPr>
            <w:tcW w:w="726" w:type="dxa"/>
            <w:tcBorders>
              <w:top w:val="single" w:sz="4" w:space="0" w:color="auto"/>
              <w:left w:val="single" w:sz="4" w:space="0" w:color="auto"/>
              <w:bottom w:val="single" w:sz="6" w:space="0" w:color="auto"/>
              <w:right w:val="single" w:sz="4" w:space="0" w:color="auto"/>
            </w:tcBorders>
            <w:vAlign w:val="center"/>
          </w:tcPr>
          <w:p w:rsidR="00E71ECE" w:rsidRPr="00A47522" w:rsidRDefault="00E71ECE" w:rsidP="007E01C1">
            <w:pPr>
              <w:autoSpaceDE w:val="0"/>
              <w:autoSpaceDN w:val="0"/>
              <w:adjustRightInd w:val="0"/>
              <w:jc w:val="center"/>
              <w:rPr>
                <w:sz w:val="20"/>
                <w:lang w:val="en-US"/>
              </w:rPr>
            </w:pPr>
            <w:r w:rsidRPr="00A47522">
              <w:rPr>
                <w:sz w:val="20"/>
                <w:lang w:val="en-US"/>
              </w:rPr>
              <w:t>III</w:t>
            </w:r>
          </w:p>
        </w:tc>
        <w:tc>
          <w:tcPr>
            <w:tcW w:w="727" w:type="dxa"/>
            <w:tcBorders>
              <w:top w:val="single" w:sz="4" w:space="0" w:color="auto"/>
              <w:left w:val="single" w:sz="4" w:space="0" w:color="auto"/>
              <w:bottom w:val="single" w:sz="6" w:space="0" w:color="auto"/>
              <w:right w:val="single" w:sz="6" w:space="0" w:color="auto"/>
            </w:tcBorders>
            <w:vAlign w:val="center"/>
          </w:tcPr>
          <w:p w:rsidR="00E71ECE" w:rsidRPr="00A47522" w:rsidRDefault="00E71ECE" w:rsidP="007E01C1">
            <w:pPr>
              <w:autoSpaceDE w:val="0"/>
              <w:autoSpaceDN w:val="0"/>
              <w:adjustRightInd w:val="0"/>
              <w:jc w:val="center"/>
              <w:rPr>
                <w:sz w:val="20"/>
              </w:rPr>
            </w:pPr>
            <w:r w:rsidRPr="00A47522">
              <w:rPr>
                <w:sz w:val="20"/>
                <w:lang w:val="en-US"/>
              </w:rPr>
              <w:t>IV</w:t>
            </w:r>
          </w:p>
        </w:tc>
      </w:tr>
      <w:tr w:rsidR="00E71ECE" w:rsidTr="007E01C1">
        <w:tc>
          <w:tcPr>
            <w:tcW w:w="2809" w:type="dxa"/>
            <w:gridSpan w:val="3"/>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r>
              <w:t xml:space="preserve">Уменьшение </w:t>
            </w:r>
          </w:p>
        </w:tc>
        <w:tc>
          <w:tcPr>
            <w:tcW w:w="900"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7" w:type="dxa"/>
            <w:tcBorders>
              <w:top w:val="single" w:sz="6" w:space="0" w:color="auto"/>
              <w:left w:val="single" w:sz="4" w:space="0" w:color="auto"/>
              <w:bottom w:val="single" w:sz="6" w:space="0" w:color="auto"/>
              <w:right w:val="single" w:sz="6" w:space="0" w:color="auto"/>
            </w:tcBorders>
          </w:tcPr>
          <w:p w:rsidR="00E71ECE" w:rsidRDefault="00E71ECE" w:rsidP="007E01C1">
            <w:pPr>
              <w:autoSpaceDE w:val="0"/>
              <w:autoSpaceDN w:val="0"/>
              <w:adjustRightInd w:val="0"/>
            </w:pPr>
          </w:p>
        </w:tc>
      </w:tr>
      <w:tr w:rsidR="00E71ECE" w:rsidTr="007E01C1">
        <w:tc>
          <w:tcPr>
            <w:tcW w:w="720"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005"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084"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7" w:type="dxa"/>
            <w:tcBorders>
              <w:top w:val="single" w:sz="6" w:space="0" w:color="auto"/>
              <w:left w:val="single" w:sz="4" w:space="0" w:color="auto"/>
              <w:bottom w:val="single" w:sz="6" w:space="0" w:color="auto"/>
              <w:right w:val="single" w:sz="6" w:space="0" w:color="auto"/>
            </w:tcBorders>
          </w:tcPr>
          <w:p w:rsidR="00E71ECE" w:rsidRDefault="00E71ECE" w:rsidP="007E01C1">
            <w:pPr>
              <w:autoSpaceDE w:val="0"/>
              <w:autoSpaceDN w:val="0"/>
              <w:adjustRightInd w:val="0"/>
            </w:pPr>
          </w:p>
        </w:tc>
      </w:tr>
      <w:tr w:rsidR="00E71ECE" w:rsidTr="007E01C1">
        <w:tc>
          <w:tcPr>
            <w:tcW w:w="720"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005"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084"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7" w:type="dxa"/>
            <w:tcBorders>
              <w:top w:val="single" w:sz="6" w:space="0" w:color="auto"/>
              <w:left w:val="single" w:sz="4" w:space="0" w:color="auto"/>
              <w:bottom w:val="single" w:sz="6" w:space="0" w:color="auto"/>
              <w:right w:val="single" w:sz="6" w:space="0" w:color="auto"/>
            </w:tcBorders>
          </w:tcPr>
          <w:p w:rsidR="00E71ECE" w:rsidRDefault="00E71ECE" w:rsidP="007E01C1">
            <w:pPr>
              <w:autoSpaceDE w:val="0"/>
              <w:autoSpaceDN w:val="0"/>
              <w:adjustRightInd w:val="0"/>
            </w:pPr>
          </w:p>
        </w:tc>
      </w:tr>
      <w:tr w:rsidR="00E71ECE" w:rsidTr="007E01C1">
        <w:tc>
          <w:tcPr>
            <w:tcW w:w="720"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005"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084"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7" w:type="dxa"/>
            <w:tcBorders>
              <w:top w:val="single" w:sz="6" w:space="0" w:color="auto"/>
              <w:left w:val="single" w:sz="4" w:space="0" w:color="auto"/>
              <w:bottom w:val="single" w:sz="6" w:space="0" w:color="auto"/>
              <w:right w:val="single" w:sz="6" w:space="0" w:color="auto"/>
            </w:tcBorders>
          </w:tcPr>
          <w:p w:rsidR="00E71ECE" w:rsidRDefault="00E71ECE" w:rsidP="007E01C1">
            <w:pPr>
              <w:autoSpaceDE w:val="0"/>
              <w:autoSpaceDN w:val="0"/>
              <w:adjustRightInd w:val="0"/>
            </w:pPr>
          </w:p>
        </w:tc>
      </w:tr>
      <w:tr w:rsidR="00E71ECE" w:rsidTr="007E01C1">
        <w:tc>
          <w:tcPr>
            <w:tcW w:w="2809" w:type="dxa"/>
            <w:gridSpan w:val="3"/>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r>
              <w:t xml:space="preserve">Всего уменьшено </w:t>
            </w:r>
          </w:p>
        </w:tc>
        <w:tc>
          <w:tcPr>
            <w:tcW w:w="900"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7" w:type="dxa"/>
            <w:tcBorders>
              <w:top w:val="single" w:sz="6" w:space="0" w:color="auto"/>
              <w:left w:val="single" w:sz="4" w:space="0" w:color="auto"/>
              <w:bottom w:val="single" w:sz="6" w:space="0" w:color="auto"/>
              <w:right w:val="single" w:sz="6" w:space="0" w:color="auto"/>
            </w:tcBorders>
          </w:tcPr>
          <w:p w:rsidR="00E71ECE" w:rsidRDefault="00E71ECE" w:rsidP="007E01C1">
            <w:pPr>
              <w:autoSpaceDE w:val="0"/>
              <w:autoSpaceDN w:val="0"/>
              <w:adjustRightInd w:val="0"/>
            </w:pPr>
          </w:p>
        </w:tc>
      </w:tr>
      <w:tr w:rsidR="00E71ECE" w:rsidTr="007E01C1">
        <w:tc>
          <w:tcPr>
            <w:tcW w:w="2809" w:type="dxa"/>
            <w:gridSpan w:val="3"/>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r>
              <w:t xml:space="preserve">Увеличение </w:t>
            </w:r>
          </w:p>
        </w:tc>
        <w:tc>
          <w:tcPr>
            <w:tcW w:w="900"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7" w:type="dxa"/>
            <w:tcBorders>
              <w:top w:val="single" w:sz="6" w:space="0" w:color="auto"/>
              <w:left w:val="single" w:sz="4" w:space="0" w:color="auto"/>
              <w:bottom w:val="single" w:sz="6" w:space="0" w:color="auto"/>
              <w:right w:val="single" w:sz="6" w:space="0" w:color="auto"/>
            </w:tcBorders>
          </w:tcPr>
          <w:p w:rsidR="00E71ECE" w:rsidRDefault="00E71ECE" w:rsidP="007E01C1">
            <w:pPr>
              <w:autoSpaceDE w:val="0"/>
              <w:autoSpaceDN w:val="0"/>
              <w:adjustRightInd w:val="0"/>
            </w:pPr>
          </w:p>
        </w:tc>
      </w:tr>
      <w:tr w:rsidR="00E71ECE" w:rsidTr="007E01C1">
        <w:tc>
          <w:tcPr>
            <w:tcW w:w="720"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005"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084"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7" w:type="dxa"/>
            <w:tcBorders>
              <w:top w:val="single" w:sz="6" w:space="0" w:color="auto"/>
              <w:left w:val="single" w:sz="4" w:space="0" w:color="auto"/>
              <w:bottom w:val="single" w:sz="6" w:space="0" w:color="auto"/>
              <w:right w:val="single" w:sz="6" w:space="0" w:color="auto"/>
            </w:tcBorders>
          </w:tcPr>
          <w:p w:rsidR="00E71ECE" w:rsidRDefault="00E71ECE" w:rsidP="007E01C1">
            <w:pPr>
              <w:autoSpaceDE w:val="0"/>
              <w:autoSpaceDN w:val="0"/>
              <w:adjustRightInd w:val="0"/>
            </w:pPr>
          </w:p>
        </w:tc>
      </w:tr>
      <w:tr w:rsidR="00E71ECE" w:rsidTr="007E01C1">
        <w:tc>
          <w:tcPr>
            <w:tcW w:w="720"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005"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084"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7" w:type="dxa"/>
            <w:tcBorders>
              <w:top w:val="single" w:sz="6" w:space="0" w:color="auto"/>
              <w:left w:val="single" w:sz="4" w:space="0" w:color="auto"/>
              <w:bottom w:val="single" w:sz="6" w:space="0" w:color="auto"/>
              <w:right w:val="single" w:sz="6" w:space="0" w:color="auto"/>
            </w:tcBorders>
          </w:tcPr>
          <w:p w:rsidR="00E71ECE" w:rsidRDefault="00E71ECE" w:rsidP="007E01C1">
            <w:pPr>
              <w:autoSpaceDE w:val="0"/>
              <w:autoSpaceDN w:val="0"/>
              <w:adjustRightInd w:val="0"/>
            </w:pPr>
          </w:p>
        </w:tc>
      </w:tr>
      <w:tr w:rsidR="00E71ECE" w:rsidTr="007E01C1">
        <w:tc>
          <w:tcPr>
            <w:tcW w:w="720"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005"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084"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7" w:type="dxa"/>
            <w:tcBorders>
              <w:left w:val="single" w:sz="4" w:space="0" w:color="auto"/>
              <w:bottom w:val="single" w:sz="6" w:space="0" w:color="auto"/>
              <w:right w:val="single" w:sz="6" w:space="0" w:color="auto"/>
            </w:tcBorders>
          </w:tcPr>
          <w:p w:rsidR="00E71ECE" w:rsidRDefault="00E71ECE" w:rsidP="007E01C1">
            <w:pPr>
              <w:autoSpaceDE w:val="0"/>
              <w:autoSpaceDN w:val="0"/>
              <w:adjustRightInd w:val="0"/>
            </w:pPr>
          </w:p>
        </w:tc>
      </w:tr>
      <w:tr w:rsidR="00E71ECE" w:rsidTr="007E01C1">
        <w:tc>
          <w:tcPr>
            <w:tcW w:w="2809" w:type="dxa"/>
            <w:gridSpan w:val="3"/>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r>
              <w:t xml:space="preserve">Всего увеличено </w:t>
            </w:r>
          </w:p>
        </w:tc>
        <w:tc>
          <w:tcPr>
            <w:tcW w:w="900"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961"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1198"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92" w:type="dxa"/>
            <w:tcBorders>
              <w:top w:val="single" w:sz="6" w:space="0" w:color="auto"/>
              <w:left w:val="single" w:sz="6" w:space="0" w:color="auto"/>
              <w:bottom w:val="single" w:sz="6" w:space="0" w:color="auto"/>
              <w:right w:val="single" w:sz="6" w:space="0" w:color="auto"/>
            </w:tcBorders>
          </w:tcPr>
          <w:p w:rsidR="00E71ECE" w:rsidRDefault="00E71ECE" w:rsidP="007E01C1">
            <w:pPr>
              <w:autoSpaceDE w:val="0"/>
              <w:autoSpaceDN w:val="0"/>
              <w:adjustRightInd w:val="0"/>
            </w:pPr>
          </w:p>
        </w:tc>
        <w:tc>
          <w:tcPr>
            <w:tcW w:w="726" w:type="dxa"/>
            <w:tcBorders>
              <w:top w:val="single" w:sz="6" w:space="0" w:color="auto"/>
              <w:left w:val="single" w:sz="6"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6" w:type="dxa"/>
            <w:tcBorders>
              <w:top w:val="single" w:sz="6" w:space="0" w:color="auto"/>
              <w:left w:val="single" w:sz="4" w:space="0" w:color="auto"/>
              <w:bottom w:val="single" w:sz="6" w:space="0" w:color="auto"/>
              <w:right w:val="single" w:sz="4" w:space="0" w:color="auto"/>
            </w:tcBorders>
          </w:tcPr>
          <w:p w:rsidR="00E71ECE" w:rsidRDefault="00E71ECE" w:rsidP="007E01C1">
            <w:pPr>
              <w:autoSpaceDE w:val="0"/>
              <w:autoSpaceDN w:val="0"/>
              <w:adjustRightInd w:val="0"/>
            </w:pPr>
          </w:p>
        </w:tc>
        <w:tc>
          <w:tcPr>
            <w:tcW w:w="727" w:type="dxa"/>
            <w:tcBorders>
              <w:top w:val="single" w:sz="6" w:space="0" w:color="auto"/>
              <w:left w:val="single" w:sz="4" w:space="0" w:color="auto"/>
              <w:bottom w:val="single" w:sz="6" w:space="0" w:color="auto"/>
              <w:right w:val="single" w:sz="6" w:space="0" w:color="auto"/>
            </w:tcBorders>
          </w:tcPr>
          <w:p w:rsidR="00E71ECE" w:rsidRDefault="00E71ECE" w:rsidP="007E01C1">
            <w:pPr>
              <w:autoSpaceDE w:val="0"/>
              <w:autoSpaceDN w:val="0"/>
              <w:adjustRightInd w:val="0"/>
            </w:pPr>
          </w:p>
        </w:tc>
      </w:tr>
    </w:tbl>
    <w:p w:rsidR="00E71ECE" w:rsidRDefault="00E71ECE" w:rsidP="00E71ECE">
      <w:pPr>
        <w:autoSpaceDE w:val="0"/>
        <w:autoSpaceDN w:val="0"/>
        <w:adjustRightInd w:val="0"/>
      </w:pPr>
    </w:p>
    <w:p w:rsidR="00E71ECE" w:rsidRDefault="00E71ECE" w:rsidP="00E71ECE">
      <w:pPr>
        <w:autoSpaceDE w:val="0"/>
        <w:autoSpaceDN w:val="0"/>
        <w:adjustRightInd w:val="0"/>
      </w:pPr>
    </w:p>
    <w:p w:rsidR="00E71ECE" w:rsidRDefault="00E71ECE" w:rsidP="00E71ECE">
      <w:pPr>
        <w:autoSpaceDE w:val="0"/>
        <w:autoSpaceDN w:val="0"/>
        <w:adjustRightInd w:val="0"/>
      </w:pPr>
      <w:r>
        <w:t>Обоснование необходимости перераспределения:</w:t>
      </w:r>
    </w:p>
    <w:p w:rsidR="00E71ECE" w:rsidRDefault="00E71ECE" w:rsidP="00E71ECE">
      <w:pPr>
        <w:autoSpaceDE w:val="0"/>
        <w:autoSpaceDN w:val="0"/>
        <w:adjustRightInd w:val="0"/>
      </w:pPr>
    </w:p>
    <w:p w:rsidR="00E71ECE" w:rsidRDefault="00E71ECE" w:rsidP="00E71ECE">
      <w:pPr>
        <w:autoSpaceDE w:val="0"/>
        <w:autoSpaceDN w:val="0"/>
        <w:adjustRightInd w:val="0"/>
      </w:pPr>
    </w:p>
    <w:p w:rsidR="00E71ECE" w:rsidRDefault="00E71ECE" w:rsidP="00E71ECE">
      <w:pPr>
        <w:autoSpaceDE w:val="0"/>
        <w:autoSpaceDN w:val="0"/>
        <w:adjustRightInd w:val="0"/>
        <w:jc w:val="both"/>
      </w:pPr>
      <w:r>
        <w:t xml:space="preserve">Подпись руководителя _________________ </w:t>
      </w:r>
    </w:p>
    <w:p w:rsidR="00E71ECE" w:rsidRDefault="00E71ECE" w:rsidP="00E71ECE">
      <w:pPr>
        <w:autoSpaceDE w:val="0"/>
        <w:autoSpaceDN w:val="0"/>
        <w:adjustRightInd w:val="0"/>
        <w:jc w:val="both"/>
      </w:pPr>
    </w:p>
    <w:p w:rsidR="00E71ECE" w:rsidRDefault="00E71ECE" w:rsidP="00E71ECE">
      <w:pPr>
        <w:autoSpaceDE w:val="0"/>
        <w:autoSpaceDN w:val="0"/>
        <w:adjustRightInd w:val="0"/>
        <w:jc w:val="both"/>
      </w:pPr>
    </w:p>
    <w:p w:rsidR="00E71ECE" w:rsidRDefault="00E71ECE" w:rsidP="00E71ECE">
      <w:r>
        <w:t>Подпись исполнителя _________________</w:t>
      </w:r>
    </w:p>
    <w:p w:rsidR="00E71ECE" w:rsidRDefault="00E71ECE" w:rsidP="00E71ECE">
      <w:pPr>
        <w:pStyle w:val="a4"/>
      </w:pPr>
    </w:p>
    <w:sectPr w:rsidR="00E71ECE">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B59" w:rsidRDefault="008A2B59">
      <w:r>
        <w:separator/>
      </w:r>
    </w:p>
  </w:endnote>
  <w:endnote w:type="continuationSeparator" w:id="0">
    <w:p w:rsidR="008A2B59" w:rsidRDefault="008A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B59" w:rsidRDefault="008A2B59">
      <w:r>
        <w:separator/>
      </w:r>
    </w:p>
  </w:footnote>
  <w:footnote w:type="continuationSeparator" w:id="0">
    <w:p w:rsidR="008A2B59" w:rsidRDefault="008A2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E55"/>
    <w:rsid w:val="008A2B59"/>
    <w:rsid w:val="00D57E55"/>
    <w:rsid w:val="00E71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8020"/>
  <w15:docId w15:val="{C9D00669-8B07-417B-A6BB-589B3D6F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E71ECE"/>
    <w:pPr>
      <w:tabs>
        <w:tab w:val="center" w:pos="4677"/>
        <w:tab w:val="right" w:pos="9355"/>
      </w:tabs>
    </w:pPr>
  </w:style>
  <w:style w:type="character" w:customStyle="1" w:styleId="a6">
    <w:name w:val="Верхний колонтитул Знак"/>
    <w:basedOn w:val="a0"/>
    <w:link w:val="a5"/>
    <w:uiPriority w:val="99"/>
    <w:rsid w:val="00E71ECE"/>
    <w:rPr>
      <w:sz w:val="24"/>
    </w:rPr>
  </w:style>
  <w:style w:type="paragraph" w:styleId="a7">
    <w:name w:val="footer"/>
    <w:basedOn w:val="a"/>
    <w:link w:val="a8"/>
    <w:uiPriority w:val="99"/>
    <w:unhideWhenUsed/>
    <w:rsid w:val="00E71ECE"/>
    <w:pPr>
      <w:tabs>
        <w:tab w:val="center" w:pos="4677"/>
        <w:tab w:val="right" w:pos="9355"/>
      </w:tabs>
    </w:pPr>
  </w:style>
  <w:style w:type="character" w:customStyle="1" w:styleId="a8">
    <w:name w:val="Нижний колонтитул Знак"/>
    <w:basedOn w:val="a0"/>
    <w:link w:val="a7"/>
    <w:uiPriority w:val="99"/>
    <w:rsid w:val="00E71E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1818</Words>
  <Characters>10365</Characters>
  <Application>Microsoft Office Word</Application>
  <DocSecurity>0</DocSecurity>
  <Lines>86</Lines>
  <Paragraphs>24</Paragraphs>
  <ScaleCrop>false</ScaleCrop>
  <Company/>
  <LinksUpToDate>false</LinksUpToDate>
  <CharactersWithSpaces>12159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gsfmik10</cp:lastModifiedBy>
  <cp:revision>2</cp:revision>
  <dcterms:created xsi:type="dcterms:W3CDTF">2022-05-23T06:09:00Z</dcterms:created>
  <dcterms:modified xsi:type="dcterms:W3CDTF">2022-05-23T06:12:00Z</dcterms:modified>
</cp:coreProperties>
</file>