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59B0" w14:textId="77777777" w:rsidR="00A55966" w:rsidRDefault="00C23E9D">
      <w:pPr>
        <w:pStyle w:val="a4"/>
        <w:jc w:val="center"/>
        <w:rPr>
          <w:i/>
        </w:rPr>
      </w:pPr>
      <w:r>
        <w:rPr>
          <w:i/>
        </w:rPr>
        <w:t>(редакция № 2 на 1 января 2021 г.)</w:t>
      </w:r>
    </w:p>
    <w:p w14:paraId="70608AE1" w14:textId="77777777" w:rsidR="00A55966" w:rsidRDefault="00C23E9D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42BCC0B1" w14:textId="77777777" w:rsidR="00A55966" w:rsidRDefault="00C23E9D">
      <w:pPr>
        <w:pStyle w:val="head"/>
      </w:pPr>
      <w:r>
        <w:rPr>
          <w:b/>
        </w:rPr>
        <w:t>ПОСТАНОВЛЕНИЕ</w:t>
      </w:r>
    </w:p>
    <w:p w14:paraId="5E390FF4" w14:textId="77777777" w:rsidR="00A55966" w:rsidRDefault="00C23E9D">
      <w:pPr>
        <w:pStyle w:val="head"/>
      </w:pPr>
      <w:r>
        <w:rPr>
          <w:b/>
        </w:rPr>
        <w:t>от 26 февраля 2020 г.</w:t>
      </w:r>
      <w:r>
        <w:br/>
      </w:r>
      <w:r>
        <w:rPr>
          <w:b/>
        </w:rPr>
        <w:t>№ 42</w:t>
      </w:r>
    </w:p>
    <w:p w14:paraId="4E25F2AF" w14:textId="77777777" w:rsidR="00A55966" w:rsidRDefault="00C23E9D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или муниципальных стационарных учреждениях социальн</w:t>
      </w:r>
      <w:r>
        <w:rPr>
          <w:b/>
        </w:rPr>
        <w:t>ой защиты</w:t>
      </w:r>
    </w:p>
    <w:p w14:paraId="20DC04C2" w14:textId="413B8486" w:rsidR="00A55966" w:rsidRDefault="00C23E9D">
      <w:pPr>
        <w:ind w:firstLine="480"/>
        <w:jc w:val="both"/>
      </w:pPr>
      <w:r>
        <w:t xml:space="preserve">В соответствии со </w:t>
      </w:r>
      <w:r w:rsidRPr="00862AB3">
        <w:rPr>
          <w:u w:color="0000FF"/>
        </w:rPr>
        <w:t>статьей 76-6 Конституции Приднестровской Молдавской Республик</w:t>
      </w:r>
      <w:r w:rsidRPr="00862AB3">
        <w:rPr>
          <w:u w:color="0000FF"/>
        </w:rPr>
        <w:t>и</w:t>
      </w:r>
      <w:r>
        <w:t xml:space="preserve">, </w:t>
      </w:r>
      <w:r w:rsidRPr="00862AB3">
        <w:rPr>
          <w:u w:color="0000FF"/>
        </w:rPr>
        <w:t>Конституционным законом Приднестровской Молдавской Республики от 30 ноября 2011 года</w:t>
      </w:r>
      <w:r w:rsidRPr="00862AB3">
        <w:rPr>
          <w:u w:color="0000FF"/>
        </w:rPr>
        <w:t xml:space="preserve"> № 224-КЗ-V </w:t>
      </w:r>
      <w:r w:rsidR="00862AB3">
        <w:rPr>
          <w:u w:color="0000FF"/>
        </w:rPr>
        <w:t>«</w:t>
      </w:r>
      <w:r w:rsidRPr="00862AB3">
        <w:rPr>
          <w:u w:color="0000FF"/>
        </w:rPr>
        <w:t>О Правительстве Приднестровской Молдавской Республики</w:t>
      </w:r>
      <w:r w:rsidR="00862AB3">
        <w:rPr>
          <w:u w:color="0000FF"/>
        </w:rPr>
        <w:t>»</w:t>
      </w:r>
      <w:r>
        <w:t xml:space="preserve"> (САЗ 11-48), </w:t>
      </w:r>
      <w:r w:rsidRPr="00862AB3">
        <w:rPr>
          <w:u w:color="0000FF"/>
        </w:rPr>
        <w:t xml:space="preserve">статьей 100 Закона Приднестровской Молдавской Республики от 17 февраля 2005 года № 537-З-III </w:t>
      </w:r>
      <w:r w:rsidR="00862AB3">
        <w:rPr>
          <w:u w:color="0000FF"/>
        </w:rPr>
        <w:t>«</w:t>
      </w:r>
      <w:r w:rsidRPr="00862AB3">
        <w:rPr>
          <w:u w:color="0000FF"/>
        </w:rPr>
        <w:t>О государственном пенсионном обеспечении граждан в Приднестровской Молдавской Республике</w:t>
      </w:r>
      <w:r w:rsidR="00862AB3">
        <w:rPr>
          <w:u w:color="0000FF"/>
        </w:rPr>
        <w:t>»</w:t>
      </w:r>
      <w:r>
        <w:t xml:space="preserve">, </w:t>
      </w:r>
      <w:r w:rsidRPr="00862AB3">
        <w:rPr>
          <w:u w:color="0000FF"/>
        </w:rPr>
        <w:t>статьей 41 Закона Приднестровской Молдавской Рес</w:t>
      </w:r>
      <w:r w:rsidRPr="00862AB3">
        <w:rPr>
          <w:u w:color="0000FF"/>
        </w:rPr>
        <w:t xml:space="preserve">публики от 17 июля 1997 года № 52-З </w:t>
      </w:r>
      <w:r w:rsidR="00862AB3">
        <w:rPr>
          <w:u w:color="0000FF"/>
        </w:rPr>
        <w:t>«</w:t>
      </w:r>
      <w:r w:rsidRPr="00862AB3">
        <w:rPr>
          <w:u w:color="0000FF"/>
        </w:rPr>
        <w:t>О пенсионном обеспечении работников органов прокуратуры, имеющих классные чины, и их семей в Приднестровской Молдавской Республике</w:t>
      </w:r>
      <w:r w:rsidR="00862AB3">
        <w:rPr>
          <w:u w:color="0000FF"/>
        </w:rPr>
        <w:t>»</w:t>
      </w:r>
      <w:r>
        <w:t xml:space="preserve"> (СЗМР 97-3), </w:t>
      </w:r>
      <w:r w:rsidRPr="00862AB3">
        <w:rPr>
          <w:u w:color="0000FF"/>
        </w:rPr>
        <w:t>ст</w:t>
      </w:r>
      <w:r w:rsidRPr="00862AB3">
        <w:rPr>
          <w:u w:color="0000FF"/>
        </w:rPr>
        <w:t xml:space="preserve">атьей 56 Закона Приднестровской Молдавской Республики от 24 января 2000 года № 230-З </w:t>
      </w:r>
      <w:r w:rsidR="00862AB3">
        <w:rPr>
          <w:u w:color="0000FF"/>
        </w:rPr>
        <w:t>«</w:t>
      </w:r>
      <w:r w:rsidRPr="00862AB3">
        <w:rPr>
          <w:u w:color="0000FF"/>
        </w:rPr>
        <w:t xml:space="preserve">О государственном пенсионном обеспечении лиц, проходивших военную службу, службу в органах внутренних дел, уголовно-исполнительной системе, службе судебных исполнителей, </w:t>
      </w:r>
      <w:r w:rsidRPr="00862AB3">
        <w:rPr>
          <w:u w:color="0000FF"/>
        </w:rPr>
        <w:t>налоговых и таможенных органах и их семей</w:t>
      </w:r>
      <w:r w:rsidR="00862AB3">
        <w:rPr>
          <w:u w:color="0000FF"/>
        </w:rPr>
        <w:t>»</w:t>
      </w:r>
      <w:r>
        <w:t> (САЗ 00-1), Правительство Приднестровской Молдавской Республики постановляет:</w:t>
      </w:r>
    </w:p>
    <w:p w14:paraId="33AF5082" w14:textId="77777777" w:rsidR="00A55966" w:rsidRDefault="00C23E9D">
      <w:pPr>
        <w:ind w:firstLine="480"/>
        <w:jc w:val="both"/>
      </w:pPr>
      <w:r>
        <w:t>1. Утвердить Положение о расходовании денежных средств, направляемых в стационарные учреждения социальной защиты в виде разницы межд</w:t>
      </w:r>
      <w:r>
        <w:t>у суммами назначенной и выплачиваемой пенсии гражданам, проживающим в государственных или муниципальных стационарных учреждениях социальной защиты, согласно Приложению к настоящему Постановлению.</w:t>
      </w:r>
    </w:p>
    <w:p w14:paraId="67B05062" w14:textId="1E364D20" w:rsidR="00A55966" w:rsidRDefault="00C23E9D">
      <w:pPr>
        <w:ind w:firstLine="480"/>
        <w:jc w:val="both"/>
      </w:pPr>
      <w:r>
        <w:t>2. Признать утратившим силу Приказ Министерства по социально</w:t>
      </w:r>
      <w:r>
        <w:t xml:space="preserve">й защите и труду </w:t>
      </w:r>
      <w:r w:rsidRPr="00862AB3">
        <w:rPr>
          <w:u w:color="0000FF"/>
        </w:rPr>
        <w:t xml:space="preserve">Приднестровской Молдавской Республики от 4 февраля 2013 года № 11 </w:t>
      </w:r>
      <w:r w:rsidR="00862AB3">
        <w:rPr>
          <w:u w:color="0000FF"/>
        </w:rPr>
        <w:t>«</w:t>
      </w:r>
      <w:r w:rsidRPr="00862AB3">
        <w:rPr>
          <w:u w:color="0000FF"/>
        </w:rPr>
        <w:t xml:space="preserve">Об утверждении Положения </w:t>
      </w:r>
      <w:r w:rsidR="00862AB3">
        <w:rPr>
          <w:u w:color="0000FF"/>
        </w:rPr>
        <w:t>«</w:t>
      </w:r>
      <w:r w:rsidRPr="00862AB3">
        <w:rPr>
          <w:u w:color="0000FF"/>
        </w:rPr>
        <w:t>О расходовании денежных средств, направляемых для выплаты пенсий гражданам, проживающим в стационарных учреждениях социальной защиты</w:t>
      </w:r>
      <w:r w:rsidR="00862AB3">
        <w:rPr>
          <w:u w:color="0000FF"/>
        </w:rPr>
        <w:t>»</w:t>
      </w:r>
      <w:r>
        <w:t xml:space="preserve"> (регистрационный № 6347 от 18 марта 2013 года) (САЗ 13-11) с изменениями и дополнениями, внесенными приказами Министерства по социальной защите и труду </w:t>
      </w:r>
      <w:r w:rsidRPr="00862AB3">
        <w:rPr>
          <w:u w:color="0000FF"/>
        </w:rPr>
        <w:t>Приднестровской Молдавской Республики от 25 января 2016 года № 2</w:t>
      </w:r>
      <w:r>
        <w:t xml:space="preserve"> (регистрационный № 7363 от 20 февраля 2016 года) (САЗ 16-7), </w:t>
      </w:r>
      <w:r w:rsidRPr="00862AB3">
        <w:rPr>
          <w:u w:color="0000FF"/>
        </w:rPr>
        <w:t>от 5 мая 2016 года № 471</w:t>
      </w:r>
      <w:r>
        <w:t xml:space="preserve"> (регистрационный № 7448 от 26 мая 2016 года) (САЗ 16-21), </w:t>
      </w:r>
      <w:r w:rsidRPr="00862AB3">
        <w:rPr>
          <w:u w:color="0000FF"/>
        </w:rPr>
        <w:t>от 18 октября 2017 года № 1212</w:t>
      </w:r>
      <w:r>
        <w:t> (регистрационный № 8026 от 10 ноября 201</w:t>
      </w:r>
      <w:r>
        <w:t>7 года) (САЗ 17-46).</w:t>
      </w:r>
    </w:p>
    <w:p w14:paraId="7208B28A" w14:textId="77777777" w:rsidR="00A55966" w:rsidRDefault="00C23E9D">
      <w:pPr>
        <w:ind w:firstLine="48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14:paraId="52B64A66" w14:textId="77777777" w:rsidR="00A55966" w:rsidRDefault="00C23E9D">
      <w:pPr>
        <w:pStyle w:val="a4"/>
      </w:pPr>
      <w:r>
        <w:rPr>
          <w:b/>
        </w:rPr>
        <w:t>ПРЕДСЕДАТЕЛЬ ПРАВИТЕЛЬСТВА А.МАРТЫНОВ</w:t>
      </w:r>
    </w:p>
    <w:p w14:paraId="3651050B" w14:textId="77777777" w:rsidR="00A55966" w:rsidRDefault="00C23E9D">
      <w:pPr>
        <w:pStyle w:val="a4"/>
      </w:pPr>
      <w:r>
        <w:t>г. Тирасполь</w:t>
      </w:r>
      <w:r>
        <w:br/>
      </w:r>
      <w:r>
        <w:t>26 февраля 2020 г.</w:t>
      </w:r>
      <w:r>
        <w:br/>
      </w:r>
      <w:r>
        <w:t>№ 42</w:t>
      </w:r>
    </w:p>
    <w:p w14:paraId="5D3B569A" w14:textId="77777777" w:rsidR="00A55966" w:rsidRDefault="00C23E9D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</w:t>
      </w:r>
      <w:r>
        <w:t>олдавской</w:t>
      </w:r>
      <w:r>
        <w:br/>
      </w:r>
      <w:r>
        <w:t>Республики</w:t>
      </w:r>
      <w:r>
        <w:br/>
      </w:r>
      <w:r>
        <w:t>от 26 февраля 2020 года № 42</w:t>
      </w:r>
    </w:p>
    <w:p w14:paraId="48764975" w14:textId="77777777" w:rsidR="00A55966" w:rsidRPr="00862AB3" w:rsidRDefault="00C23E9D">
      <w:pPr>
        <w:pStyle w:val="1"/>
        <w:ind w:firstLine="480"/>
        <w:jc w:val="center"/>
        <w:rPr>
          <w:rFonts w:ascii="Times New Roman" w:hAnsi="Times New Roman" w:cs="Times New Roman"/>
          <w:sz w:val="28"/>
          <w:szCs w:val="10"/>
        </w:rPr>
      </w:pPr>
      <w:bookmarkStart w:id="0" w:name="_GoBack"/>
      <w:r w:rsidRPr="00862AB3">
        <w:rPr>
          <w:rFonts w:ascii="Times New Roman" w:hAnsi="Times New Roman" w:cs="Times New Roman"/>
          <w:sz w:val="28"/>
          <w:szCs w:val="10"/>
        </w:rPr>
        <w:t>ПОЛОЖЕНИЕ</w:t>
      </w:r>
      <w:r w:rsidRPr="00862AB3">
        <w:rPr>
          <w:rFonts w:ascii="Times New Roman" w:hAnsi="Times New Roman" w:cs="Times New Roman"/>
          <w:sz w:val="28"/>
          <w:szCs w:val="10"/>
        </w:rPr>
        <w:br/>
        <w:t>о расходовании денежных средств, направляемых в стационарные учреждения социальной защиты в виде разницы между суммами назначенной и выплачиваемой пенсии гражданам, проживающим в государственных и</w:t>
      </w:r>
      <w:r w:rsidRPr="00862AB3">
        <w:rPr>
          <w:rFonts w:ascii="Times New Roman" w:hAnsi="Times New Roman" w:cs="Times New Roman"/>
          <w:sz w:val="28"/>
          <w:szCs w:val="10"/>
        </w:rPr>
        <w:t>ли муниципальных стационарных учреждениях социальной защиты</w:t>
      </w:r>
    </w:p>
    <w:bookmarkEnd w:id="0"/>
    <w:p w14:paraId="7CECDC7A" w14:textId="77777777" w:rsidR="00A55966" w:rsidRDefault="00C23E9D">
      <w:pPr>
        <w:ind w:firstLine="480"/>
        <w:jc w:val="both"/>
      </w:pPr>
      <w:r>
        <w:t xml:space="preserve">1. Настоящее Положение регламентирует расходование денежных средств, направляемых в стационарные учреждения социальной защиты в виде разницы между суммами назначенной и выплачиваемой пенсии </w:t>
      </w:r>
      <w:r>
        <w:t>гражданам, проживающим в государственных или муниципальных стационарных учреждениях социальной защиты.</w:t>
      </w:r>
    </w:p>
    <w:p w14:paraId="25D31F65" w14:textId="77777777" w:rsidR="00A55966" w:rsidRDefault="00C23E9D">
      <w:pPr>
        <w:ind w:firstLine="480"/>
        <w:jc w:val="both"/>
      </w:pPr>
      <w:r>
        <w:t>2. Оформление документов на выплату разницы между суммой назначенной и выплачиваемой пенсии (далее - разница) гражданам, проживающим в государственных ил</w:t>
      </w:r>
      <w:r>
        <w:t>и муниципальных стационарных учреждениях социальной защиты (далее - учреждение), производится в порядке, установленном действующим законодательством для выплаты пенсий гражданам, проживающим в стационарных учреждениях социальной защиты.</w:t>
      </w:r>
    </w:p>
    <w:p w14:paraId="2F682EE6" w14:textId="77777777" w:rsidR="00A55966" w:rsidRDefault="00C23E9D">
      <w:pPr>
        <w:ind w:firstLine="480"/>
        <w:jc w:val="both"/>
      </w:pPr>
      <w:r>
        <w:t xml:space="preserve">3. Перечисления на </w:t>
      </w:r>
      <w:r>
        <w:t>счета сумм по поручению учреждений средств, указанных в пункте 2 настоящего Положения, производятся соответствующими городскими (районными) центрами социального страхования и социальной защиты в конце текущего месяца не позднее 28-го числа.</w:t>
      </w:r>
    </w:p>
    <w:p w14:paraId="4ADBF2CA" w14:textId="77777777" w:rsidR="00A55966" w:rsidRDefault="00C23E9D">
      <w:pPr>
        <w:ind w:firstLine="480"/>
        <w:jc w:val="both"/>
      </w:pPr>
      <w:r>
        <w:t>4. Денежные сре</w:t>
      </w:r>
      <w:r>
        <w:t>дства, полученные на счета сумм по поручению учреждений от разницы гражданам, проживающим в учреждениях, расходуются на следующие цели:</w:t>
      </w:r>
    </w:p>
    <w:p w14:paraId="72FE02ED" w14:textId="77777777" w:rsidR="00A55966" w:rsidRDefault="00C23E9D">
      <w:pPr>
        <w:ind w:firstLine="480"/>
        <w:jc w:val="both"/>
      </w:pPr>
      <w:r>
        <w:t>а) расходы, связанные с обеспечением дополнительного питания граждан, проживающих в учреждении;</w:t>
      </w:r>
    </w:p>
    <w:p w14:paraId="15C32C3F" w14:textId="77777777" w:rsidR="00A55966" w:rsidRDefault="00C23E9D">
      <w:pPr>
        <w:ind w:firstLine="480"/>
        <w:jc w:val="both"/>
      </w:pPr>
      <w:r>
        <w:t xml:space="preserve">б) расходы, связанные с </w:t>
      </w:r>
      <w:r>
        <w:t>медицинским обслуживанием и протезированием:</w:t>
      </w:r>
    </w:p>
    <w:p w14:paraId="7B8520F5" w14:textId="77777777" w:rsidR="00A55966" w:rsidRDefault="00C23E9D">
      <w:pPr>
        <w:ind w:firstLine="480"/>
        <w:jc w:val="both"/>
      </w:pPr>
      <w:r>
        <w:t xml:space="preserve">1) приобретение медикаментов первой необходимости, прививочного материала, материалов для проведения анализов, медицинского оборудования и инструментов, препаратов по эпидемическим показаниям и </w:t>
      </w:r>
      <w:proofErr w:type="spellStart"/>
      <w:r>
        <w:t>парафармацевтичес</w:t>
      </w:r>
      <w:r>
        <w:t>кой</w:t>
      </w:r>
      <w:proofErr w:type="spellEnd"/>
      <w:r>
        <w:t xml:space="preserve"> продукции, прочих изделий медицинского назначения;</w:t>
      </w:r>
    </w:p>
    <w:p w14:paraId="3D4E606C" w14:textId="77777777" w:rsidR="00A55966" w:rsidRDefault="00C23E9D">
      <w:pPr>
        <w:ind w:firstLine="480"/>
        <w:jc w:val="both"/>
      </w:pPr>
      <w:r>
        <w:t>2) протезирование зубов;</w:t>
      </w:r>
    </w:p>
    <w:p w14:paraId="02D5EE2C" w14:textId="77777777" w:rsidR="00A55966" w:rsidRDefault="00C23E9D">
      <w:pPr>
        <w:ind w:firstLine="480"/>
        <w:jc w:val="both"/>
      </w:pPr>
      <w:r>
        <w:t>3) обеспечение слуховыми аппаратами и очками;</w:t>
      </w:r>
    </w:p>
    <w:p w14:paraId="641EC6C7" w14:textId="77777777" w:rsidR="00A55966" w:rsidRDefault="00C23E9D">
      <w:pPr>
        <w:ind w:firstLine="480"/>
        <w:jc w:val="both"/>
      </w:pPr>
      <w:r>
        <w:t>4) обеспечение дополнительной оплаты за изготовление протезов верхних и нижних конечностей и протезно-ортопедической обуви;</w:t>
      </w:r>
    </w:p>
    <w:p w14:paraId="0BBCB45D" w14:textId="77777777" w:rsidR="00A55966" w:rsidRDefault="00C23E9D">
      <w:pPr>
        <w:ind w:firstLine="480"/>
        <w:jc w:val="both"/>
      </w:pPr>
      <w:r>
        <w:t xml:space="preserve">5) </w:t>
      </w:r>
      <w:r>
        <w:t>приобретение костылей, палочек и тростей;</w:t>
      </w:r>
    </w:p>
    <w:p w14:paraId="616005C3" w14:textId="77777777" w:rsidR="00A55966" w:rsidRDefault="00C23E9D">
      <w:pPr>
        <w:ind w:firstLine="480"/>
        <w:jc w:val="both"/>
      </w:pPr>
      <w:r>
        <w:t>6) ремонт индивидуальных средств реабилитации и медицинского оборудования;</w:t>
      </w:r>
    </w:p>
    <w:p w14:paraId="3BC9E999" w14:textId="77777777" w:rsidR="00A55966" w:rsidRDefault="00C23E9D">
      <w:pPr>
        <w:ind w:firstLine="480"/>
        <w:jc w:val="both"/>
      </w:pPr>
      <w:r>
        <w:t>в) расходы, связанные с культурно-досуговым обслуживанием и учебно-воспитательной работой:</w:t>
      </w:r>
    </w:p>
    <w:p w14:paraId="4C1371AA" w14:textId="77777777" w:rsidR="00A55966" w:rsidRDefault="00C23E9D">
      <w:pPr>
        <w:ind w:firstLine="480"/>
        <w:jc w:val="both"/>
      </w:pPr>
      <w:r>
        <w:t>1) оплата услуг по обслуживанию радиовещания и т</w:t>
      </w:r>
      <w:r>
        <w:t xml:space="preserve">елевидения, </w:t>
      </w:r>
      <w:proofErr w:type="spellStart"/>
      <w:r>
        <w:t>фотоуслуг</w:t>
      </w:r>
      <w:proofErr w:type="spellEnd"/>
      <w:r>
        <w:t>;</w:t>
      </w:r>
    </w:p>
    <w:p w14:paraId="20FC73DB" w14:textId="77777777" w:rsidR="00A55966" w:rsidRDefault="00C23E9D">
      <w:pPr>
        <w:ind w:firstLine="480"/>
        <w:jc w:val="both"/>
      </w:pPr>
      <w:r>
        <w:t>2) приобретение теле и видео аппаратуры, компьютерной и организационной техники;</w:t>
      </w:r>
    </w:p>
    <w:p w14:paraId="0FF55E05" w14:textId="77777777" w:rsidR="00A55966" w:rsidRDefault="00C23E9D">
      <w:pPr>
        <w:ind w:firstLine="480"/>
        <w:jc w:val="both"/>
      </w:pPr>
      <w:r>
        <w:t xml:space="preserve">3) приобретение фототоваров, </w:t>
      </w:r>
      <w:proofErr w:type="spellStart"/>
      <w:r>
        <w:t>видеотоваров</w:t>
      </w:r>
      <w:proofErr w:type="spellEnd"/>
      <w:r>
        <w:t>, средств связи и приборов учета;</w:t>
      </w:r>
    </w:p>
    <w:p w14:paraId="5324A7E7" w14:textId="77777777" w:rsidR="00A55966" w:rsidRDefault="00C23E9D">
      <w:pPr>
        <w:ind w:firstLine="480"/>
        <w:jc w:val="both"/>
      </w:pPr>
      <w:r>
        <w:t>4) приобретение музыкальных инструментов и их ремонт;</w:t>
      </w:r>
    </w:p>
    <w:p w14:paraId="404A2AB3" w14:textId="77777777" w:rsidR="00A55966" w:rsidRDefault="00C23E9D">
      <w:pPr>
        <w:ind w:firstLine="480"/>
        <w:jc w:val="both"/>
      </w:pPr>
      <w:r>
        <w:t>5) приобретение литерат</w:t>
      </w:r>
      <w:r>
        <w:t>уры, тетрадей, ручек, альбомов, карандашей, красок и других канцелярских товаров для проведения занятий с детьми, проживающими в учреждениях;</w:t>
      </w:r>
    </w:p>
    <w:p w14:paraId="7854F070" w14:textId="77777777" w:rsidR="00A55966" w:rsidRDefault="00C23E9D">
      <w:pPr>
        <w:ind w:firstLine="480"/>
        <w:jc w:val="both"/>
      </w:pPr>
      <w:r>
        <w:t>6) приобретение игрушек, настольных игр, спортивного инвентаря и другого игрового имущества;</w:t>
      </w:r>
    </w:p>
    <w:p w14:paraId="6D98E99A" w14:textId="77777777" w:rsidR="00A55966" w:rsidRDefault="00C23E9D">
      <w:pPr>
        <w:ind w:firstLine="480"/>
        <w:jc w:val="both"/>
      </w:pPr>
      <w:r>
        <w:lastRenderedPageBreak/>
        <w:t>7) приобретение матер</w:t>
      </w:r>
      <w:r>
        <w:t>иалов для вязания и шитья;</w:t>
      </w:r>
    </w:p>
    <w:p w14:paraId="1E46AEF6" w14:textId="77777777" w:rsidR="00A55966" w:rsidRDefault="00C23E9D">
      <w:pPr>
        <w:ind w:firstLine="480"/>
        <w:jc w:val="both"/>
      </w:pPr>
      <w:r>
        <w:t>8) оплата за проведение экскурсий и выставок, иных культурно-досуговых мероприятий, проводимых для граждан, проживающих в учреждении;</w:t>
      </w:r>
    </w:p>
    <w:p w14:paraId="18B2CA24" w14:textId="77777777" w:rsidR="00A55966" w:rsidRDefault="00C23E9D">
      <w:pPr>
        <w:ind w:firstLine="480"/>
        <w:jc w:val="both"/>
      </w:pPr>
      <w:r>
        <w:t>г) обеспечение мягким и твердым инвентарем, электробытовыми приборами, теле-, радиоаппаратурой,</w:t>
      </w:r>
      <w:r>
        <w:t xml:space="preserve"> а также расходы, связанные с содержанием, ремонтом и обеспечением функционирования автотранспорта, техники и оборудования:</w:t>
      </w:r>
    </w:p>
    <w:p w14:paraId="1E019874" w14:textId="77777777" w:rsidR="00A55966" w:rsidRDefault="00C23E9D">
      <w:pPr>
        <w:ind w:firstLine="480"/>
        <w:jc w:val="both"/>
      </w:pPr>
      <w:r>
        <w:t>1) приобретение нательного и постельного белья, обуви и головных уборов для граждан, проживающих в учреждениях;</w:t>
      </w:r>
    </w:p>
    <w:p w14:paraId="3E4257A8" w14:textId="77777777" w:rsidR="00A55966" w:rsidRDefault="00C23E9D">
      <w:pPr>
        <w:ind w:firstLine="480"/>
        <w:jc w:val="both"/>
      </w:pPr>
      <w:r>
        <w:t>2) приобретение элек</w:t>
      </w:r>
      <w:r>
        <w:t>тробытовых приборов индивидуального пользования, радиоприемников, телевизоров, бытовых холодильников, пылесосов;</w:t>
      </w:r>
    </w:p>
    <w:p w14:paraId="1229A6BE" w14:textId="77777777" w:rsidR="00A55966" w:rsidRDefault="00C23E9D">
      <w:pPr>
        <w:ind w:firstLine="480"/>
        <w:jc w:val="both"/>
      </w:pPr>
      <w:r>
        <w:t>3) использование средств для текущего ремонта автомобилей, кухонного, прачечного и складского оборудования и другого необходимого оборудования;</w:t>
      </w:r>
    </w:p>
    <w:p w14:paraId="62EE9147" w14:textId="77777777" w:rsidR="00A55966" w:rsidRDefault="00C23E9D">
      <w:pPr>
        <w:ind w:firstLine="480"/>
        <w:jc w:val="both"/>
      </w:pPr>
      <w:r>
        <w:t>4) приобретение запасных частей для автомобилей, кухонного, прачечного и складского оборудования и другого необходимого оборудования;</w:t>
      </w:r>
    </w:p>
    <w:p w14:paraId="75482ADB" w14:textId="77777777" w:rsidR="00A55966" w:rsidRDefault="00C23E9D">
      <w:pPr>
        <w:ind w:firstLine="480"/>
        <w:jc w:val="both"/>
      </w:pPr>
      <w:r>
        <w:t>5) приобретение горюче-смазочных материалов для автотранспортного парка учреждений;</w:t>
      </w:r>
    </w:p>
    <w:p w14:paraId="6CA0FA22" w14:textId="77777777" w:rsidR="00A55966" w:rsidRDefault="00C23E9D">
      <w:pPr>
        <w:ind w:firstLine="480"/>
        <w:jc w:val="both"/>
      </w:pPr>
      <w:r>
        <w:t>6) установка и эксплуатация программн</w:t>
      </w:r>
      <w:r>
        <w:t>ого обеспечения, коммуникационной связи, средств видеонаблюдения и охранной сигнализации;</w:t>
      </w:r>
    </w:p>
    <w:p w14:paraId="76A8DDD0" w14:textId="77777777" w:rsidR="00A55966" w:rsidRDefault="00C23E9D">
      <w:pPr>
        <w:ind w:firstLine="480"/>
        <w:jc w:val="both"/>
      </w:pPr>
      <w:r>
        <w:t>д) обеспечение товарами личной гигиены и средствами дезинфекции;</w:t>
      </w:r>
    </w:p>
    <w:p w14:paraId="47527151" w14:textId="77777777" w:rsidR="00A55966" w:rsidRDefault="00C23E9D">
      <w:pPr>
        <w:ind w:firstLine="480"/>
        <w:jc w:val="both"/>
      </w:pPr>
      <w:r>
        <w:t>е) проведение ремонта учреждений;</w:t>
      </w:r>
    </w:p>
    <w:p w14:paraId="40D21AE6" w14:textId="77777777" w:rsidR="00A55966" w:rsidRDefault="00C23E9D">
      <w:pPr>
        <w:ind w:firstLine="480"/>
        <w:jc w:val="both"/>
      </w:pPr>
      <w:r>
        <w:t>ж) другие расходы, связанные с обеспечением жизнедеятельности и улу</w:t>
      </w:r>
      <w:r>
        <w:t>чшением условий проживания граждан, содержащихся в учреждениях, а также с обеспечением функционирования и укрепления материально-технической базы учреждений.</w:t>
      </w:r>
    </w:p>
    <w:p w14:paraId="575EC7AA" w14:textId="77777777" w:rsidR="00A55966" w:rsidRDefault="00C23E9D">
      <w:pPr>
        <w:ind w:firstLine="480"/>
        <w:jc w:val="both"/>
      </w:pPr>
      <w:r>
        <w:t>5. Расходование денежных средств учреждениями на цели, предусмотренные пунктом 4 настоящего Положе</w:t>
      </w:r>
      <w:r>
        <w:t>ния, производится в соответствии с представленной учреждениями сметой на год и утвержденной руководителем исполнительного органа государственной власти Приднестровской Молдавской Республики, в ведомственном подчинении которого находится учреждение.</w:t>
      </w:r>
    </w:p>
    <w:p w14:paraId="6A1EA3FD" w14:textId="77777777" w:rsidR="00A55966" w:rsidRDefault="00C23E9D">
      <w:pPr>
        <w:ind w:firstLine="480"/>
        <w:jc w:val="both"/>
      </w:pPr>
      <w:r>
        <w:t>6. Учре</w:t>
      </w:r>
      <w:r>
        <w:t>ждения ежеквартально представляют отчеты по использованию денежных средств в исполнительный орган государственной власти Приднестровской Молдавской Республики, в ведомственном подчинении которого находится данное учреждение.</w:t>
      </w:r>
    </w:p>
    <w:p w14:paraId="34861BF2" w14:textId="77777777" w:rsidR="00A55966" w:rsidRDefault="00C23E9D">
      <w:pPr>
        <w:ind w:firstLine="480"/>
        <w:jc w:val="both"/>
      </w:pPr>
      <w:r>
        <w:t>7. Контроль за целевым расходов</w:t>
      </w:r>
      <w:r>
        <w:t>анием денежных средств, направленных в учреждения в виде разницы, осуществляется исполнительным органом государственной власти Приднестровской Молдавской Республики, в ведомственном подчинении которого находится данное учреждение.</w:t>
      </w:r>
    </w:p>
    <w:sectPr w:rsidR="00A55966" w:rsidSect="00862AB3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4A6F7" w14:textId="77777777" w:rsidR="00C23E9D" w:rsidRDefault="00C23E9D">
      <w:r>
        <w:separator/>
      </w:r>
    </w:p>
  </w:endnote>
  <w:endnote w:type="continuationSeparator" w:id="0">
    <w:p w14:paraId="2BB02A49" w14:textId="77777777" w:rsidR="00C23E9D" w:rsidRDefault="00C2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7E0B9" w14:textId="77777777" w:rsidR="00C23E9D" w:rsidRDefault="00C23E9D">
      <w:r>
        <w:separator/>
      </w:r>
    </w:p>
  </w:footnote>
  <w:footnote w:type="continuationSeparator" w:id="0">
    <w:p w14:paraId="441331B5" w14:textId="77777777" w:rsidR="00C23E9D" w:rsidRDefault="00C2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66"/>
    <w:rsid w:val="00862AB3"/>
    <w:rsid w:val="00A55966"/>
    <w:rsid w:val="00C2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B4A2"/>
  <w15:docId w15:val="{1BC6EACB-598A-4494-AA42-367700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62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AB3"/>
    <w:rPr>
      <w:sz w:val="24"/>
    </w:rPr>
  </w:style>
  <w:style w:type="paragraph" w:styleId="a7">
    <w:name w:val="footer"/>
    <w:basedOn w:val="a"/>
    <w:link w:val="a8"/>
    <w:uiPriority w:val="99"/>
    <w:unhideWhenUsed/>
    <w:rsid w:val="00862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A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2021-05-19T12:27:00Z</dcterms:created>
  <dcterms:modified xsi:type="dcterms:W3CDTF">2021-05-19T12:28:00Z</dcterms:modified>
</cp:coreProperties>
</file>