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"https://pravopmr.ru/View.aspx?id=xXzfn6l9qu8BB4qFzD%2feiQ%3d%3d"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4 на 27 октября 2020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18 июня 2020 г.</w:t>
      </w:r>
      <w:r>
        <w:br/>
      </w:r>
      <w:r>
        <w:rPr>
          <w:b w:val="true"/>
        </w:rPr>
        <w:t>№ 218</w:t>
      </w:r>
    </w:p>
    <w:p>
      <w:pPr>
        <w:pStyle w:val="head"/>
        <w:rPr/>
      </w:pPr>
      <w:r>
        <w:rPr>
          <w:b w:val="true"/>
        </w:rPr>
        <w:t>Об утверждении Положения о порядке реализации мероприятий по льготному кредитованию хозяйствующих субъектов, осуществляющих деятельность в сфере промышленности и сельского хозяйства, на цели пополнения оборотных средств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</w:t>
      </w:r>
      <w:r>
        <w:fldChar w:fldCharType="end"/>
      </w:r>
      <w:r>
        <w:rPr>
          <w:sz w:val="24"/>
        </w:rPr>
        <w:t xml:space="preserve"> и </w:t>
      </w:r>
      <w:r>
        <w:fldChar w:fldCharType="begin" w:fldLock="false" w:dirty="false"/>
      </w:r>
      <w:r>
        <w:rPr/>
        <w:instrText xml:space="preserve"> HYPERLINK "https://pravopmr.ru/View.aspx?id=ail%2b65fV%2bSK9WIjXFL9V4Q%3d%3d#p402"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пунктом 1 статьи 98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"https://pravopmr.ru/View.aspx?id=Y5h6%2bJzksOULSkYjSY%2bnVw%3d%3d"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11-48), </w:t>
      </w:r>
      <w:r>
        <w:fldChar w:fldCharType="begin" w:fldLock="false" w:dirty="false"/>
      </w:r>
      <w:r>
        <w:rPr/>
        <w:instrText xml:space="preserve"> HYPERLINK "##p7" </w:instrText>
      </w:r>
      <w:r>
        <w:fldChar w:fldCharType="separate"/>
      </w:r>
      <w:r>
        <w:rPr>
          <w:sz w:val="24"/>
          <w:rStyle w:val="Hyperlink"/>
        </w:rPr>
        <w:t>пунктом 7-1 статьи 1 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16-23), в целях поддержки хозяйствующих субъектов, осуществляющих деятельность в сфере промышленности и сельского хозяйства,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1. </w:t>
      </w:r>
      <w:r>
        <w:rPr>
          <w:sz w:val="24"/>
        </w:rPr>
        <w:t>Утвердить Положение о порядке реализации мероприятий по льготному кредитованию хозяйствующих субъектов, осуществляющих деятельность в сфере промышленности и сельского хозяйства, на цели пополнения оборотных средств согласно Приложению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2. </w:t>
      </w:r>
      <w:r>
        <w:rPr>
          <w:sz w:val="24"/>
        </w:rPr>
        <w:t>Настоящее Постановление вступает в силу со дня его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А.МАРТЫНОВ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18 июня 2020 г.</w:t>
      </w:r>
      <w:r>
        <w:br/>
      </w:r>
      <w:r>
        <w:rPr>
          <w:sz w:val="24"/>
        </w:rPr>
        <w:t>№ 218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  <w:r>
        <w:br/>
      </w:r>
      <w:r>
        <w:rPr>
          <w:sz w:val="24"/>
        </w:rPr>
        <w:t>от 18 июня 2020 года № 218</w:t>
      </w:r>
    </w:p>
    <w:p>
      <w:pPr>
        <w:jc w:val="center"/>
        <w:spacing w:lineRule="auto"/>
        <w:ind w:firstLine="480"/>
        <w:pStyle w:val="Heading1"/>
        <w:rPr/>
      </w:pPr>
      <w:r>
        <w:rPr>
          <w:b w:val="true"/>
        </w:rPr>
        <w:t>ПОЛОЖЕНИЕ</w:t>
      </w:r>
      <w:r>
        <w:br/>
      </w:r>
      <w:r>
        <w:rPr>
          <w:b w:val="true"/>
        </w:rPr>
        <w:t>о порядке реализации мероприятий по льготному кредитованию хозяйствующих субъектов, осуществляющих деятельность в сфере промышленности и сельского хозяйства, на цели пополнения оборотных средств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условия и порядок реализации мероприятий по льготному кредитованию хозяйствующих субъектов, осуществляющих деятельность в сфере промышленности и сельского хозяйства.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Целью получения кредитных ресурсов является пополнение оборотных средств, включая выплату заработной платы, расчеты с контрагентами, поставщиками и подрядчиками, уплата налогов и иные платежи, связанные с текущей деятельностью хозяйствующего субъекта.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В качестве заемщика могут выступать хозяйствующие субъекты, осуществляющие деятельность в сфере промышленности и сельского хозяйства, включая крестьянские (фермерские) хозяйства.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При льготном кредитовании на условиях, предусмотренных настоящим Положением, для кредитных организаций производится уменьшение начисленной суммы налога на доходы 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на сумму, исчисленную в размере 3 (трех) процентов годовых от суммы непогашенного кредита, выданного в соответствии с данным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Уменьшение обязательств по налогу на доходы для кредитных организаций осуществляется в период действия кредитного договора на основании и в порядке, предусмотренном соглашением между кредитной организацией и Министерством финансов Приднестровской Молдавской Республики, по форме согласно Приложению № 3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5. При наличии у хозяйствующих субъектов, получивших кредиты в соответствии с данным Положением, задолженностей перед кредитными организациями по другим кредитам, приоритетным для хозяйствующих субъектов является погашение последовательно задолженности по кредитам, выданным на цели выплаты заработной платы и уплаты налогов, связанных с выплатой заработной платы, в соответствии с подпунктом "н" статьи 1 </w:t>
      </w:r>
      <w:r>
        <w:fldChar w:fldCharType="begin" w:fldLock="false" w:dirty="false"/>
      </w:r>
      <w:r>
        <w:rPr/>
        <w:instrText xml:space="preserve"> HYPERLINK "https://pravopmr.ru/View.aspx?id=Ilkcucehsj%2bbfMZ72Lf3Aw%3d%3d" \o "(ВСТУПИЛ В СИЛУ 11.04.2020) 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году" </w:instrText>
      </w:r>
      <w:r>
        <w:fldChar w:fldCharType="separate"/>
      </w:r>
      <w:r>
        <w:fldChar w:fldCharType="end"/>
      </w:r>
      <w:r>
        <w:fldChar w:fldCharType="begin" w:fldLock="false" w:dirty="false"/>
      </w:r>
      <w:r>
        <w:rPr/>
        <w:instrText xml:space="preserve"> HYPERLINK "https://pravopmr.ru/Admin/view.aspx?sid=903802" </w:instrText>
      </w:r>
      <w:r>
        <w:fldChar w:fldCharType="separate"/>
      </w:r>
      <w:r>
        <w:rPr>
          <w:sz w:val="24"/>
          <w:rStyle w:val="Hyperlink"/>
        </w:rPr>
        <w:t>Закона Приднестровской Молдавской Республики от 10 апреля 2020 года № 61-З-VI "О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году"</w:t>
      </w:r>
      <w:r>
        <w:fldChar w:fldCharType="end"/>
      </w:r>
      <w:r>
        <w:rPr>
          <w:sz w:val="24"/>
        </w:rPr>
        <w:t xml:space="preserve"> (САЗ 20-15), и задолженности по кредитам, выданным на цели пополнения оборотных средств в соответствии с данным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Досрочное погашение имеющихся у хозяйствующих субъектов кредитов допускается только после полного погашения кредита, выданного на цели выплаты заработной платы и уплаты налогов, связанных с выплатой заработной платы, в соответствии с подпунктом "н" статьи 1 </w:t>
      </w:r>
      <w:r>
        <w:fldChar w:fldCharType="begin" w:fldLock="false" w:dirty="false"/>
      </w:r>
      <w:r>
        <w:rPr/>
        <w:instrText xml:space="preserve"> HYPERLINK "https://pravopmr.ru/View.aspx?id=Ilkcucehsj%2bbfMZ72Lf3Aw%3d%3d" \o "(ВСТУПИЛ В СИЛУ 11.04.2020) 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году" </w:instrText>
      </w:r>
      <w:r>
        <w:fldChar w:fldCharType="separate"/>
      </w:r>
      <w:r>
        <w:fldChar w:fldCharType="end"/>
      </w:r>
      <w:r>
        <w:fldChar w:fldCharType="begin" w:fldLock="false" w:dirty="false"/>
      </w:r>
      <w:r>
        <w:rPr/>
        <w:instrText xml:space="preserve"> HYPERLINK "https://pravopmr.ru/Admin/view.aspx?sid=903802" </w:instrText>
      </w:r>
      <w:r>
        <w:fldChar w:fldCharType="separate"/>
      </w:r>
      <w:r>
        <w:rPr>
          <w:sz w:val="24"/>
          <w:rStyle w:val="Hyperlink"/>
        </w:rPr>
        <w:t>Закона Приднестровской Молдавской Республики от 10 апреля 2020 года № 61-З-VI "О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году"</w:t>
      </w:r>
      <w:r>
        <w:fldChar w:fldCharType="end"/>
      </w:r>
      <w:r>
        <w:rPr>
          <w:sz w:val="24"/>
        </w:rPr>
        <w:t xml:space="preserve"> (САЗ 20-15), и кредита, выданного на цели пополнения оборотных средств в соответствии с данным Положением. Положения настоящего пункта не применяются при погашении хозяйствующими субъектами кредитов в соответствии со сроками (график погашения), установленными кредитными договорами, а также при погашении кредитов овердрафт (кредитование счета).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2. Условия льготного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Льготный кредит предоставляется заемщикам при соблюдении следующих условий: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для хозяйствующих субъектов, осуществляющих деятельность в сфере сельского хозяйства, сумма кредита не превышает расчетную сумму, определяемую произведением 200 (двухсот) условных денежных единиц в долларовом эквиваленте, исходя из официального курса доллара США на дату заключения договора, на число обрабатываемых субъектом гектаров земли, по которым в 2020 году утверждены исполнительным органом государственной власти Приднестровской Молдавской Республики, осуществляющим функции по реализации государственной политики в области агропромышленного комплекса, акты гибели или повреждения 50 и более процентов посевов сельскохозяйственных культур и (или) акты гибели или повреждения 50 и более процентов урожая многолетних плодово-ягодных насаждений, произошедшей в результате неблагоприятных погодных условий;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срок выдачи кредита не более 2 (двух)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валюта предоставления кредита: доллар США, евро, рубль РФ, молдавский лей, приднестровский рубль;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срок предоставления заявок - не позднее 31 декабря 2020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Заемщик не должен находиться в стадии ликвидации и (или) в отношении заемщика не должна быть начата процедура несостоятельности (банкротства) в соответствии с законодательством Приднестровской Молдавской Республики.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3. Порядок рассмотрения заявок и принятия решения по льготному кредитованию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Заемщик самостоятельно выбирает кредитную организацию для получения кредита и представляет заявку и документы в соответствии с требованиями настоящего Положения, а также правилами и процедурами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Хозяйствующие субъекты, осуществляющие деятельность в сфере сельского хозяйства, дополнительно представляют акты гибели или повреждения посевов сельскохозяйственных культур и (или) урожая многолетних плодово-ягодных насаждений, утвержденные Министерством сельского хозяйства и природных ресурсов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Рассмотрение документов, представленных заемщиком, осуществляется кредитной организацией самостоятельно с учетом требований настоящего Положения, а также правилами и процедурами, принятыми в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Не допускается установление при заключении кредитного договора в рамках и на условиях настоящего Положения дополнительных требований, способствующих прямому или косвенному удорожанию кредита, за исключением случаев нарушения заемщиком условий кредитного договора.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Контроль за реализацией норм настоящего пункта, а также за целевым использованием кредита осуществляет кредитная организация. В случае выявления кредитной организацией нецелевого использования кредита заемщик теряет право на порядок льготного кредитования в части сумм, использованных заемщиком не по целевому назначению. При этом к заемным средствам, использованным заемщиком не по целевому назначению, кредитная организация применяет общую кредитную ставку с последующим перерасчетом налога на доходы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10. Для принятия решения о кредитовании хозяйствующего субъекта в рамках механизма, предусмотренного пунктом 7-1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16-23), кредитная организация направляет в адрес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 1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11. Рассмотрение Обращения о применении условий льготного кредитования на предмет соответствия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20 (двадцати) рабочих дней со дня поступления Обращения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 результатам рассмотрения Обращения кредитной организации Наблюдательный совет Фонда принимает одно из следующих решений: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к заявке о кредитовании хозяйствующего субъекта применяются условия льготного кредитования, определенные пунктом 7-1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(в случае, если условия, отраженные в Обращении, соответствует нормам пункта 7-1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б) заявка о кредитовании хозяйствующего субъекта не подлежит исполнению с применением условий льготного кредитования, определенных пунктом 7-1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 (САЗ 16-23) (в случае, если условия, отраженные в Обращении, не соответствуют нормам пункта 7-1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Принятое Наблюдательным советом Фонда решение, оформленное в виде выписки из протокола заседания Наблюдательного совета Фонда, о применении (неприменении) условий льготного кредитования направляется в кредитную организацию в течение 5 (пяти) рабочих дней со дня принятия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При положительном решении Наблюдательного совета Фонда о применении условий льготного кредитования кредитная организация в течение 5 (пяти) рабочих дней с даты получения выписки из протокола заседания Наблюдательного совета Фонда заключает трехсторонний кредитный договор, сторонами которого выступают: кредитная организация, хозяйствующий субъект (заемщик) и Приднестровская Молдавская Республика в лице Министерства финансов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заключаемом трехстороннем кредитном договоре кредитная организация отражает общую процентную ставку по кредиту и разграничивает обязательства по оплате процентной ставки по кредиту следующим образом: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оплата 3 (трех) процентов годовых от суммы непогашенного кредита, выданного в соответствии с пунктом 7-1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настоящим Положением, осуществляется Приднестровской Молдавской Республикой в лице Министерства финансов Приднестровской Молдавской Республики путем уменьшения обязательств по налогу на доходы для кредитных организаций в порядке, предусмотренном настоящим Положением;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оплата разницы между общей процентной ставкой по кредиту и 3 (тремя) процентами годовых, оплачиваемых Приднестровской Молдавской Республикой в лице Министерства финансов Приднестровской Молдавской Республики, осуществляется заемщиком в порядке, сроки и на условиях, отраженных в кредитном договоре.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4.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Фонд государственного резерва Приднестровской Молдавской Республики на основании оперативной информации кредитных организаций ведет реестр заемщиков, заключивших кредитные договоры с кредитными организациями, предусмотренный Приложением № 2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Фонд государственного резерва Приднестровской Молдавской Республики на основании информации кредитных организаций и Министерства финансов Приднестровской Молдавской Республики на полугодовой основе в срок до 27 числа месяца, следующего за отчетным, направляет в Правительство Приднестровской Молдавской Республики следующую информацию: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перечень хозяйствующих субъектов, осуществляющих деятельность в сфере промышленности и сельского хозяйства, с которыми были заключены кредитные договоры;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суммы и процентные ставки по кредитам, выданным кредитными организациями хозяйствующим субъектам, осуществляющим деятельность в сфере промышленности и сельского хозяйства, в разрезе получателей в рамках настоящего Положения;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"https://pravopmr.ru/Content/Documents/2020/pravit/2020-06-18_218_1.docx" </w:instrText>
      </w:r>
      <w:r>
        <w:fldChar w:fldCharType="separate"/>
      </w:r>
      <w:r>
        <w:rPr>
          <w:sz w:val="24"/>
          <w:rStyle w:val="Hyperlink"/>
        </w:rPr>
        <w:t xml:space="preserve">Приложение № 1 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субъектов,</w:t>
      </w:r>
      <w:r>
        <w:br/>
      </w:r>
      <w:r>
        <w:rPr>
          <w:sz w:val="24"/>
        </w:rPr>
        <w:t>осуществляющих деятельность в сфере</w:t>
      </w:r>
      <w:r>
        <w:br/>
      </w:r>
      <w:r>
        <w:rPr>
          <w:sz w:val="24"/>
        </w:rPr>
        <w:t>промышленности и сельского хозяйства,</w:t>
      </w:r>
      <w:r>
        <w:br/>
      </w:r>
      <w:r>
        <w:rPr>
          <w:sz w:val="24"/>
        </w:rPr>
        <w:t>на цели пополнения оборотных средств</w:t>
      </w:r>
      <w:r>
        <w:br/>
      </w:r>
      <w:r>
        <w:rPr>
          <w:sz w:val="24"/>
        </w:rPr>
        <w:t>в Фонд государственного резерва</w:t>
      </w:r>
      <w:r>
        <w:br/>
      </w:r>
      <w:r>
        <w:rPr>
          <w:sz w:val="24"/>
        </w:rPr>
        <w:t>Приднестровской Молдавской Республики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"https://pravopmr.ru/Content/Documents/2020/pravit/2020-06-18_218_2.docx" </w:instrText>
      </w:r>
      <w:r>
        <w:fldChar w:fldCharType="separate"/>
      </w:r>
      <w:r>
        <w:rPr>
          <w:sz w:val="24"/>
          <w:rStyle w:val="Hyperlink"/>
        </w:rPr>
        <w:t xml:space="preserve">Приложение № 2 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субъектов,</w:t>
      </w:r>
      <w:r>
        <w:br/>
      </w:r>
      <w:r>
        <w:rPr>
          <w:sz w:val="24"/>
        </w:rPr>
        <w:t>осуществляющих деятельность в сфере</w:t>
      </w:r>
      <w:r>
        <w:br/>
      </w:r>
      <w:r>
        <w:rPr>
          <w:sz w:val="24"/>
        </w:rPr>
        <w:t>промышленности и сельского хозяйства,</w:t>
      </w:r>
      <w:r>
        <w:br/>
      </w:r>
      <w:r>
        <w:rPr>
          <w:sz w:val="24"/>
        </w:rPr>
        <w:t>на цели пополнения оборотных средств</w:t>
      </w:r>
      <w:r>
        <w:br/>
      </w:r>
      <w:r>
        <w:rPr>
          <w:sz w:val="24"/>
        </w:rPr>
        <w:t>в Фонд государственного резерва</w:t>
      </w:r>
      <w:r>
        <w:br/>
      </w:r>
      <w:r>
        <w:rPr>
          <w:sz w:val="24"/>
        </w:rPr>
        <w:t>Приднестровской Молдавской Республики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"https://pravopmr.ru/Content/Documents/2020/pravit/2020-06-18_218_3_1.docx" </w:instrText>
      </w:r>
      <w:r>
        <w:fldChar w:fldCharType="separate"/>
      </w:r>
      <w:r>
        <w:rPr>
          <w:sz w:val="24"/>
          <w:rStyle w:val="Hyperlink"/>
        </w:rPr>
        <w:t xml:space="preserve">Приложение № 3 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субъектов,</w:t>
      </w:r>
      <w:r>
        <w:br/>
      </w:r>
      <w:r>
        <w:rPr>
          <w:sz w:val="24"/>
        </w:rPr>
        <w:t>осуществляющих деятельность в сфере</w:t>
      </w:r>
      <w:r>
        <w:br/>
      </w:r>
      <w:r>
        <w:rPr>
          <w:sz w:val="24"/>
        </w:rPr>
        <w:t>промышленности и сельского хозяйства,</w:t>
      </w:r>
      <w:r>
        <w:br/>
      </w:r>
      <w:r>
        <w:rPr>
          <w:sz w:val="24"/>
        </w:rPr>
        <w:t>на цели пополнения оборотных средств</w:t>
      </w:r>
      <w:r>
        <w:br/>
      </w:r>
      <w:r>
        <w:rPr>
          <w:sz w:val="24"/>
        </w:rPr>
        <w:t>в Фонд государственного резерва</w:t>
      </w:r>
      <w:r>
        <w:br/>
      </w:r>
      <w:r>
        <w:rPr>
          <w:sz w:val="24"/>
        </w:rPr>
        <w:t>Приднестровской Молдавской Республики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"https://pravopmr.ru/Content/Documents/2020/pravit/2020-06-18_218.docx" </w:instrText>
      </w:r>
      <w:r>
        <w:fldChar w:fldCharType="separate"/>
      </w:r>
      <w:r>
        <w:rPr>
          <w:sz w:val="24"/>
          <w:rStyle w:val="Hyperlink"/>
        </w:rPr>
        <w:t>Приложение № 1</w:t>
      </w:r>
      <w:r>
        <w:fldChar w:fldCharType="end"/>
      </w:r>
      <w:r>
        <w:rPr>
          <w:sz w:val="24"/>
        </w:rPr>
        <w:t xml:space="preserve"> к Соглашению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