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7DD" w:rsidRPr="002D2982" w:rsidRDefault="00397A5F" w:rsidP="002D2982">
      <w:pPr>
        <w:pStyle w:val="a3"/>
        <w:ind w:firstLine="709"/>
        <w:jc w:val="center"/>
        <w:rPr>
          <w:rFonts w:ascii="Times New Roman" w:hAnsi="Times New Roman" w:cs="Times New Roman"/>
          <w:sz w:val="24"/>
          <w:szCs w:val="24"/>
        </w:rPr>
      </w:pPr>
      <w:r w:rsidRPr="002D2982">
        <w:rPr>
          <w:rFonts w:ascii="Times New Roman" w:hAnsi="Times New Roman" w:cs="Times New Roman"/>
          <w:noProof/>
          <w:sz w:val="24"/>
          <w:szCs w:val="24"/>
        </w:rPr>
        <w:drawing>
          <wp:anchor distT="0" distB="0" distL="114300" distR="114300" simplePos="0" relativeHeight="251657728" behindDoc="0" locked="0" layoutInCell="1" allowOverlap="1">
            <wp:simplePos x="0" y="0"/>
            <wp:positionH relativeFrom="column">
              <wp:posOffset>2857500</wp:posOffset>
            </wp:positionH>
            <wp:positionV relativeFrom="paragraph">
              <wp:posOffset>-282575</wp:posOffset>
            </wp:positionV>
            <wp:extent cx="685800" cy="661670"/>
            <wp:effectExtent l="19050" t="0" r="0" b="0"/>
            <wp:wrapNone/>
            <wp:docPr id="2" name="Рисунок 2" descr="Gerb-P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PMR"/>
                    <pic:cNvPicPr>
                      <a:picLocks noChangeAspect="1" noChangeArrowheads="1"/>
                    </pic:cNvPicPr>
                  </pic:nvPicPr>
                  <pic:blipFill>
                    <a:blip r:embed="rId8" cstate="print">
                      <a:lum bright="-6000" contrast="12000"/>
                    </a:blip>
                    <a:srcRect/>
                    <a:stretch>
                      <a:fillRect/>
                    </a:stretch>
                  </pic:blipFill>
                  <pic:spPr bwMode="auto">
                    <a:xfrm>
                      <a:off x="0" y="0"/>
                      <a:ext cx="685800" cy="661670"/>
                    </a:xfrm>
                    <a:prstGeom prst="rect">
                      <a:avLst/>
                    </a:prstGeom>
                    <a:noFill/>
                  </pic:spPr>
                </pic:pic>
              </a:graphicData>
            </a:graphic>
          </wp:anchor>
        </w:drawing>
      </w:r>
    </w:p>
    <w:p w:rsidR="008057DD" w:rsidRPr="002D2982" w:rsidRDefault="008057DD" w:rsidP="002D2982">
      <w:pPr>
        <w:pStyle w:val="a3"/>
        <w:ind w:firstLine="709"/>
        <w:jc w:val="center"/>
        <w:rPr>
          <w:rFonts w:ascii="Times New Roman" w:hAnsi="Times New Roman" w:cs="Times New Roman"/>
          <w:sz w:val="24"/>
          <w:szCs w:val="24"/>
          <w:lang w:val="en-US"/>
        </w:rPr>
      </w:pPr>
    </w:p>
    <w:p w:rsidR="008057DD" w:rsidRPr="002D2982" w:rsidRDefault="008057DD" w:rsidP="002D2982">
      <w:pPr>
        <w:pStyle w:val="a3"/>
        <w:ind w:firstLine="709"/>
        <w:jc w:val="center"/>
        <w:rPr>
          <w:rFonts w:ascii="Times New Roman" w:hAnsi="Times New Roman" w:cs="Times New Roman"/>
          <w:sz w:val="24"/>
          <w:szCs w:val="24"/>
        </w:rPr>
      </w:pPr>
    </w:p>
    <w:p w:rsidR="008057DD" w:rsidRPr="002D2982" w:rsidRDefault="008057DD" w:rsidP="00A95BE8">
      <w:pPr>
        <w:pStyle w:val="a3"/>
        <w:jc w:val="center"/>
        <w:outlineLvl w:val="0"/>
        <w:rPr>
          <w:rFonts w:ascii="Times New Roman" w:hAnsi="Times New Roman" w:cs="Times New Roman"/>
          <w:sz w:val="24"/>
          <w:szCs w:val="24"/>
        </w:rPr>
      </w:pPr>
      <w:r w:rsidRPr="002D2982">
        <w:rPr>
          <w:rFonts w:ascii="Times New Roman" w:hAnsi="Times New Roman" w:cs="Times New Roman"/>
          <w:sz w:val="24"/>
          <w:szCs w:val="24"/>
        </w:rPr>
        <w:t>ЗАКОН</w:t>
      </w:r>
    </w:p>
    <w:p w:rsidR="008057DD" w:rsidRPr="002D2982" w:rsidRDefault="008057DD" w:rsidP="00A95BE8">
      <w:pPr>
        <w:pStyle w:val="a3"/>
        <w:jc w:val="center"/>
        <w:outlineLvl w:val="0"/>
        <w:rPr>
          <w:rFonts w:ascii="Times New Roman" w:hAnsi="Times New Roman" w:cs="Times New Roman"/>
          <w:sz w:val="24"/>
          <w:szCs w:val="24"/>
        </w:rPr>
      </w:pPr>
      <w:r w:rsidRPr="002D2982">
        <w:rPr>
          <w:rFonts w:ascii="Times New Roman" w:hAnsi="Times New Roman" w:cs="Times New Roman"/>
          <w:sz w:val="24"/>
          <w:szCs w:val="24"/>
        </w:rPr>
        <w:t>Приднестровской Молдавской Республики</w:t>
      </w:r>
    </w:p>
    <w:p w:rsidR="008057DD" w:rsidRPr="002D2982" w:rsidRDefault="008057DD" w:rsidP="00A95BE8">
      <w:pPr>
        <w:pStyle w:val="a3"/>
        <w:jc w:val="center"/>
        <w:rPr>
          <w:rFonts w:ascii="Times New Roman" w:hAnsi="Times New Roman" w:cs="Times New Roman"/>
          <w:sz w:val="24"/>
          <w:szCs w:val="24"/>
        </w:rPr>
      </w:pPr>
    </w:p>
    <w:p w:rsidR="008057DD" w:rsidRPr="002D2982" w:rsidRDefault="008057DD" w:rsidP="00A95BE8">
      <w:pPr>
        <w:pStyle w:val="a3"/>
        <w:jc w:val="center"/>
        <w:rPr>
          <w:rFonts w:ascii="Times New Roman" w:hAnsi="Times New Roman" w:cs="Times New Roman"/>
          <w:strike/>
          <w:sz w:val="24"/>
          <w:szCs w:val="24"/>
        </w:rPr>
      </w:pPr>
    </w:p>
    <w:p w:rsidR="008057DD" w:rsidRPr="00A95BE8" w:rsidRDefault="008057DD" w:rsidP="00A95BE8">
      <w:pPr>
        <w:pStyle w:val="a3"/>
        <w:jc w:val="center"/>
        <w:rPr>
          <w:rFonts w:ascii="Times New Roman" w:hAnsi="Times New Roman" w:cs="Times New Roman"/>
          <w:b/>
          <w:sz w:val="24"/>
          <w:szCs w:val="24"/>
        </w:rPr>
      </w:pPr>
      <w:r w:rsidRPr="00A95BE8">
        <w:rPr>
          <w:rFonts w:ascii="Times New Roman" w:hAnsi="Times New Roman" w:cs="Times New Roman"/>
          <w:b/>
          <w:sz w:val="24"/>
          <w:szCs w:val="24"/>
        </w:rPr>
        <w:t>О ДОРОЖНОМ ФОНДЕ</w:t>
      </w:r>
    </w:p>
    <w:p w:rsidR="008057DD" w:rsidRPr="00A95BE8" w:rsidRDefault="008057DD" w:rsidP="00A95BE8">
      <w:pPr>
        <w:pStyle w:val="a3"/>
        <w:jc w:val="center"/>
        <w:rPr>
          <w:rFonts w:ascii="Times New Roman" w:hAnsi="Times New Roman" w:cs="Times New Roman"/>
          <w:b/>
          <w:sz w:val="24"/>
          <w:szCs w:val="24"/>
        </w:rPr>
      </w:pPr>
      <w:r w:rsidRPr="00A95BE8">
        <w:rPr>
          <w:rFonts w:ascii="Times New Roman" w:hAnsi="Times New Roman" w:cs="Times New Roman"/>
          <w:b/>
          <w:sz w:val="24"/>
          <w:szCs w:val="24"/>
        </w:rPr>
        <w:t>ПРИДНЕСТРОСКОЙ МОЛДАВСКОЙ РЕСПУБЛИКИ</w:t>
      </w:r>
    </w:p>
    <w:p w:rsidR="00992B62" w:rsidRPr="002D2982" w:rsidRDefault="00992B62" w:rsidP="00A95BE8">
      <w:pPr>
        <w:pStyle w:val="a3"/>
        <w:jc w:val="center"/>
        <w:rPr>
          <w:rFonts w:ascii="Times New Roman" w:hAnsi="Times New Roman" w:cs="Times New Roman"/>
          <w:sz w:val="24"/>
          <w:szCs w:val="24"/>
        </w:rPr>
      </w:pPr>
    </w:p>
    <w:p w:rsidR="008057DD" w:rsidRPr="002D2982" w:rsidRDefault="008057DD" w:rsidP="00A95BE8">
      <w:pPr>
        <w:pStyle w:val="a3"/>
        <w:jc w:val="center"/>
        <w:rPr>
          <w:rFonts w:ascii="Times New Roman" w:hAnsi="Times New Roman" w:cs="Times New Roman"/>
          <w:sz w:val="24"/>
          <w:szCs w:val="24"/>
        </w:rPr>
      </w:pPr>
      <w:r w:rsidRPr="002D2982">
        <w:rPr>
          <w:rFonts w:ascii="Times New Roman" w:hAnsi="Times New Roman" w:cs="Times New Roman"/>
          <w:sz w:val="24"/>
          <w:szCs w:val="24"/>
        </w:rPr>
        <w:t>от 29 сентября 2005 года № 630-З-</w:t>
      </w:r>
      <w:r w:rsidRPr="002D2982">
        <w:rPr>
          <w:rFonts w:ascii="Times New Roman" w:hAnsi="Times New Roman" w:cs="Times New Roman"/>
          <w:sz w:val="24"/>
          <w:szCs w:val="24"/>
          <w:lang w:val="en-US"/>
        </w:rPr>
        <w:t>III</w:t>
      </w:r>
      <w:r w:rsidRPr="002D2982">
        <w:rPr>
          <w:rFonts w:ascii="Times New Roman" w:hAnsi="Times New Roman" w:cs="Times New Roman"/>
          <w:sz w:val="24"/>
          <w:szCs w:val="24"/>
        </w:rPr>
        <w:t xml:space="preserve"> </w:t>
      </w:r>
      <w:bookmarkStart w:id="0" w:name="_GoBack"/>
      <w:bookmarkEnd w:id="0"/>
      <w:r w:rsidR="00D00ED6" w:rsidRPr="002D2982">
        <w:rPr>
          <w:rFonts w:ascii="Times New Roman" w:hAnsi="Times New Roman" w:cs="Times New Roman"/>
          <w:sz w:val="24"/>
          <w:szCs w:val="24"/>
        </w:rPr>
        <w:t>(</w:t>
      </w:r>
      <w:r w:rsidRPr="002D2982">
        <w:rPr>
          <w:rFonts w:ascii="Times New Roman" w:hAnsi="Times New Roman" w:cs="Times New Roman"/>
          <w:sz w:val="24"/>
          <w:szCs w:val="24"/>
        </w:rPr>
        <w:t>САЗ 05-40</w:t>
      </w:r>
      <w:r w:rsidR="00D00ED6" w:rsidRPr="002D2982">
        <w:rPr>
          <w:rFonts w:ascii="Times New Roman" w:hAnsi="Times New Roman" w:cs="Times New Roman"/>
          <w:sz w:val="24"/>
          <w:szCs w:val="24"/>
        </w:rPr>
        <w:t>)</w:t>
      </w:r>
    </w:p>
    <w:p w:rsidR="00A95BE8" w:rsidRDefault="00A95BE8" w:rsidP="002D2982">
      <w:pPr>
        <w:pStyle w:val="a3"/>
        <w:ind w:firstLine="709"/>
        <w:jc w:val="both"/>
        <w:rPr>
          <w:rFonts w:ascii="Times New Roman" w:hAnsi="Times New Roman" w:cs="Times New Roman"/>
          <w:sz w:val="24"/>
          <w:szCs w:val="24"/>
        </w:rPr>
      </w:pPr>
    </w:p>
    <w:p w:rsidR="008057DD" w:rsidRPr="002D2982" w:rsidRDefault="008057DD" w:rsidP="002D2982">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t xml:space="preserve">Настоящий Закон предусматривает образование финансовых ресурсов для содержания и устойчивого </w:t>
      </w:r>
      <w:r w:rsidR="00D20BD2" w:rsidRPr="002D2982">
        <w:rPr>
          <w:rFonts w:ascii="Times New Roman" w:hAnsi="Times New Roman" w:cs="Times New Roman"/>
          <w:sz w:val="24"/>
          <w:szCs w:val="24"/>
        </w:rPr>
        <w:t>развития</w:t>
      </w:r>
      <w:r w:rsidRPr="002D2982">
        <w:rPr>
          <w:rFonts w:ascii="Times New Roman" w:hAnsi="Times New Roman" w:cs="Times New Roman"/>
          <w:sz w:val="24"/>
          <w:szCs w:val="24"/>
        </w:rPr>
        <w:t xml:space="preserve"> автомобильных дорог общего пользования и их составных частей, находящихся в государственной и муниципальной собственности, и обеспечивает общие правовые основы создания, назначения и использования Дорожного фонда Приднестровской Молдавской Республики, а также источники средств, поступающих в Дорожный фонд Приднестровской Молдавской Республики.</w:t>
      </w:r>
    </w:p>
    <w:p w:rsidR="008057DD" w:rsidRPr="002D2982" w:rsidRDefault="008057DD" w:rsidP="002D2982">
      <w:pPr>
        <w:pStyle w:val="a3"/>
        <w:ind w:firstLine="709"/>
        <w:jc w:val="both"/>
        <w:rPr>
          <w:rFonts w:ascii="Times New Roman" w:hAnsi="Times New Roman" w:cs="Times New Roman"/>
          <w:sz w:val="24"/>
          <w:szCs w:val="24"/>
        </w:rPr>
      </w:pPr>
    </w:p>
    <w:p w:rsidR="00992B62" w:rsidRPr="00A95BE8" w:rsidRDefault="00992B62" w:rsidP="002D2982">
      <w:pPr>
        <w:autoSpaceDE w:val="0"/>
        <w:autoSpaceDN w:val="0"/>
        <w:adjustRightInd w:val="0"/>
        <w:ind w:firstLine="709"/>
        <w:jc w:val="center"/>
        <w:rPr>
          <w:b/>
        </w:rPr>
      </w:pPr>
      <w:r w:rsidRPr="00A95BE8">
        <w:rPr>
          <w:b/>
        </w:rPr>
        <w:t>Статья 1. Назначение Дорожного фонда</w:t>
      </w:r>
    </w:p>
    <w:p w:rsidR="00992B62" w:rsidRPr="002D2982" w:rsidRDefault="00992B62" w:rsidP="002D2982">
      <w:pPr>
        <w:autoSpaceDE w:val="0"/>
        <w:autoSpaceDN w:val="0"/>
        <w:adjustRightInd w:val="0"/>
        <w:ind w:firstLine="709"/>
        <w:jc w:val="both"/>
      </w:pP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1. На территории Приднестровской Молдавской Республики финансирование затрат, связанных с содержанием, ремонтом, реконструкцией и строительством автомобильных дорог общего пользования и их составных частей, находящихся в государственной и муниципальной собственности, осуществляется за счет целевых бюджетных средств, аккумулируемых на счетах Дорожного фонда Приднестровской Молдавской Республики.</w:t>
      </w:r>
    </w:p>
    <w:p w:rsidR="00DF0102"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2. Средства республиканского бюджета, аккумулируемые на счетах Дорожного фонда Приднестровской Молдавской Республики, имеют специальное назначение и выделяются из республиканского бюджета местным бюджетам городов и районов в виде субсидий на финансирование направлений расходования средств Дорожного фонда Приднестровской Молдавской Республики, предусмотренных статьей 2 настоящего Закона.</w:t>
      </w:r>
    </w:p>
    <w:p w:rsidR="00BF0067" w:rsidRPr="002D2982" w:rsidRDefault="00BF0067" w:rsidP="00BF0067">
      <w:pPr>
        <w:pStyle w:val="a3"/>
        <w:ind w:firstLine="709"/>
        <w:jc w:val="both"/>
        <w:rPr>
          <w:rFonts w:ascii="Times New Roman" w:hAnsi="Times New Roman" w:cs="Times New Roman"/>
          <w:sz w:val="24"/>
          <w:szCs w:val="24"/>
        </w:rPr>
      </w:pPr>
    </w:p>
    <w:p w:rsidR="00DF0102" w:rsidRPr="00A95BE8" w:rsidRDefault="00DF0102" w:rsidP="002D2982">
      <w:pPr>
        <w:pStyle w:val="aa"/>
        <w:spacing w:before="0" w:beforeAutospacing="0" w:after="0" w:afterAutospacing="0"/>
        <w:ind w:firstLine="709"/>
        <w:jc w:val="center"/>
        <w:rPr>
          <w:b/>
        </w:rPr>
      </w:pPr>
      <w:r w:rsidRPr="00A95BE8">
        <w:rPr>
          <w:b/>
        </w:rPr>
        <w:t>Статья 1-1. Понятия и термины, применяемые в статьях 5-1 и 7 настоящего Закона</w:t>
      </w:r>
    </w:p>
    <w:p w:rsidR="00DF0102" w:rsidRPr="002D2982" w:rsidRDefault="00DF0102" w:rsidP="002D2982">
      <w:pPr>
        <w:pStyle w:val="aa"/>
        <w:spacing w:before="0" w:beforeAutospacing="0" w:after="0" w:afterAutospacing="0"/>
        <w:ind w:firstLine="709"/>
        <w:jc w:val="both"/>
      </w:pPr>
      <w:r w:rsidRPr="002D2982">
        <w:t> </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В целях реализации статей 5-1, 5-2 и 7 настоящего Закона применяются следующие понятия и термины:</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а) автобус – это механическое транспортное средство с количеством мест для сидения более девяти, с местом водителя включительно, которое по своей конструкции и оборудованию предназначено для перевозки пассажиров и их багажа с обеспечением необходимого комфорта и безопасности и классифицируемое в товарной позиции 8702 Товарной номенклатуры внешнеэкономической деятельности (далее – ТН ВЭД);</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б) автомобиль специального назначения – это механическое транспортное средство, которое специально сконструировано или приспособлено для размещения различных устройств, которые дают ему возможность выполнять определенные нетранспортные функции, и классифицируемое в товарной позиции 8705 ТН ВЭД;</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в) автопоезд – механическое транспортное средство, сцепленное с прицепом (прицепами) или полуприцепом;</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г) грузовой автомобиль – это механическое транспортное средство, которое по своей конструкции и оборудованию предназначено для перевозки грузов в кузове или на грузовой платформе и классифицируемое в товарной позиции 8704 ТН ВЭД;</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 xml:space="preserve">д) грузоподъемность транспортного средства – это масса водителя с пассажирами и их багажом либо масса водителя с экипажем и грузом, либо масса груза, на перемещение которой </w:t>
      </w:r>
      <w:r w:rsidRPr="00BF0067">
        <w:rPr>
          <w:rFonts w:ascii="Times New Roman" w:hAnsi="Times New Roman" w:cs="Times New Roman"/>
          <w:sz w:val="24"/>
          <w:szCs w:val="24"/>
        </w:rPr>
        <w:lastRenderedPageBreak/>
        <w:t>рассчитано транспортное средство, определяемая как математическая разница между разрешенной максимальной массой транспортного средства и массой транспортного средства;</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е) легковой автомобиль – это механическое транспортное средство с количеством мест для сидения не более девяти, с местом для водителя включительно, которое по своей конструкции и оборудованию предназначено для перевозки пассажиров и их багажа, с обеспечением необходимого комфорта и безопасности, и классифицируемое в товарной позиции 8703 ТН ВЭД;</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ж) масса транспортного средства (снаряженная масса транспортного средства или масса без нагрузки) – это масса транспортного средства в снаряженном состоянии, то есть без водителя, пассажиров и (или) груза, со стандартным обязательным оборудованием, с заполненными емкостями систем питания, смазки, охлаждения и других систем, предусматривающих использование различных эксплуатационных жидкостей, с комплектом инструментов и принадлежностей, предусмотренных производителем согласно эксплуатационной документации, включая запасное колесо;</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з) механическое транспортное средство – это транспортное средство, приводимое в движение двигателем (моторное или самоходное транспортное средство);</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и) прицеп – это несамоходное транспортное средство, предназначенное для перевозки пассажиров и их багажа или грузов путем буксировки механическим транспортным средством и классифицируемое в товарной позиции 8716 ТН ВЭД;</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к) полная масса транспортного средства (разрешенная максимальная масса транспортного средства) – это максимально допустимая масса транспортного средства, установленная производителем, которая включает в себя массу транспортного средства и его грузоподъемность; за полную массу (разрешенную максимальную массу) состава транспортных средств, то есть сцепленных и движущихся как одно целое, принимается сумма полных масс транспортных средств, входящих в состав;</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л) полуприцеп – разновидность прицепа, буксируемого седельным тягачом и опирающегося своей передней частью на опорно-сцепное устройство тягача, передавая ему значительную часть всей своей массы и массы перевозимого на нем груза;</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м) седельный тягач – это вид тягача, оборудованного седельно-сцепным устройством и предназначенного для буксировки или толкания полуприцепов;</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н) трактор – это вид тягача, предназначенного для выполнения различных работ с применением прицепных, навесных, полунавесных и стационарных машин (орудий), с которыми он образует машинно-тракторный агрегат;</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о) транспортное средство – это техническое устройство, предназначенное для перевозки пассажиров и их багажа или грузов либо для выполнения определенных специализированных (нетранспортных) функций, основной целью которых не является перевозка пассажиров с багажом или грузов, либо для буксировки или толкания других транспортных средств, передвижных устройств или грузов;</w:t>
      </w:r>
    </w:p>
    <w:p w:rsidR="008057DD"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п) тягач – это механическое транспортное средство, предназначенное в основном для буксировки</w:t>
      </w:r>
      <w:r>
        <w:rPr>
          <w:rFonts w:ascii="Times New Roman" w:hAnsi="Times New Roman" w:cs="Times New Roman"/>
          <w:sz w:val="24"/>
          <w:szCs w:val="24"/>
        </w:rPr>
        <w:t xml:space="preserve"> </w:t>
      </w:r>
      <w:r w:rsidRPr="00BF0067">
        <w:rPr>
          <w:rFonts w:ascii="Times New Roman" w:hAnsi="Times New Roman" w:cs="Times New Roman"/>
          <w:sz w:val="24"/>
          <w:szCs w:val="24"/>
        </w:rPr>
        <w:t>или толкания транспортных средств, передвижных устройств или грузов и классифицируемое в товарной позиции 8701 ТН ВЭД.</w:t>
      </w:r>
    </w:p>
    <w:p w:rsidR="00BF0067" w:rsidRPr="002D2982" w:rsidRDefault="00BF0067" w:rsidP="00BF0067">
      <w:pPr>
        <w:pStyle w:val="a3"/>
        <w:ind w:firstLine="709"/>
        <w:jc w:val="both"/>
        <w:rPr>
          <w:rFonts w:ascii="Times New Roman" w:hAnsi="Times New Roman" w:cs="Times New Roman"/>
          <w:sz w:val="24"/>
          <w:szCs w:val="24"/>
        </w:rPr>
      </w:pPr>
    </w:p>
    <w:p w:rsidR="008057DD" w:rsidRPr="00A95BE8" w:rsidRDefault="008057DD" w:rsidP="002D2982">
      <w:pPr>
        <w:pStyle w:val="a3"/>
        <w:ind w:firstLine="709"/>
        <w:jc w:val="center"/>
        <w:outlineLvl w:val="0"/>
        <w:rPr>
          <w:rFonts w:ascii="Times New Roman" w:hAnsi="Times New Roman" w:cs="Times New Roman"/>
          <w:b/>
          <w:sz w:val="24"/>
          <w:szCs w:val="24"/>
        </w:rPr>
      </w:pPr>
      <w:r w:rsidRPr="00A95BE8">
        <w:rPr>
          <w:rFonts w:ascii="Times New Roman" w:hAnsi="Times New Roman" w:cs="Times New Roman"/>
          <w:b/>
          <w:sz w:val="24"/>
          <w:szCs w:val="24"/>
        </w:rPr>
        <w:t>Статья 2. Направления расходования средств Дорожного фонда</w:t>
      </w:r>
    </w:p>
    <w:p w:rsidR="008057DD" w:rsidRPr="00A95BE8" w:rsidRDefault="008057DD" w:rsidP="002D2982">
      <w:pPr>
        <w:pStyle w:val="a3"/>
        <w:ind w:firstLine="709"/>
        <w:jc w:val="center"/>
        <w:rPr>
          <w:rFonts w:ascii="Times New Roman" w:hAnsi="Times New Roman" w:cs="Times New Roman"/>
          <w:b/>
          <w:sz w:val="24"/>
          <w:szCs w:val="24"/>
        </w:rPr>
      </w:pPr>
      <w:r w:rsidRPr="00A95BE8">
        <w:rPr>
          <w:rFonts w:ascii="Times New Roman" w:hAnsi="Times New Roman" w:cs="Times New Roman"/>
          <w:b/>
          <w:sz w:val="24"/>
          <w:szCs w:val="24"/>
        </w:rPr>
        <w:t>Приднестровской Молдавской Республики.</w:t>
      </w:r>
    </w:p>
    <w:p w:rsidR="00626D31" w:rsidRPr="002D2982" w:rsidRDefault="00626D31" w:rsidP="002D2982">
      <w:pPr>
        <w:pStyle w:val="a3"/>
        <w:ind w:firstLine="709"/>
        <w:jc w:val="both"/>
        <w:rPr>
          <w:rFonts w:ascii="Times New Roman" w:hAnsi="Times New Roman" w:cs="Times New Roman"/>
          <w:sz w:val="24"/>
          <w:szCs w:val="24"/>
        </w:rPr>
      </w:pP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Расходование средств Дорожного фонда Приднестровской Молдавской Республики осуществляется по следующим направлениям:</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а) содержание, ремонт и развитие (строительство, реконструкция) автомобильных дорог общего пользования и их составных частей, находящихся в государственной и муниципальной собственности;</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а-1) содержание и ремонт внутриквартальных и дворовых проездов (без увеличения на их протяженность приведенной протяженности автомобильных дорог общего пользования и их составных частей, находящихся в государственной и муниципальной собственности, применяемой для распределения средств Дорожного фонда);</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lastRenderedPageBreak/>
        <w:t>б) организация производства дорожно-строительных материалов;</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в) приобретение оборудования, машин, механизмов и автомобильных транспортных средств, а также узлов и агрегатов к ним, предназначенных для содержания, ремонта и развития (строительства, реконструкции) автомобильных дорог общего пользования и их составных частей, находящихся в государственной и муниципальной собственности;</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г) проведение научно-исследовательских, опытно-конструкторских технологических и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д) развитие производственных баз организаций, обслуживающих автомобильные дороги общего пользования и их составные части, находящиеся в государственной и муниципальной собственности;</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е) осуществление контроля за состоянием автомобильных дорог общего пользования и их составных частей, находящихся в государственной и муниципальной собственности, включая их техническое обследование, испытание и паспортизацию;</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ж) разработка долгосрочных программ, перспективных и годовых прогнозов технического состояния автомобильных дорог общего пользования и их составных частей, находящихся в государственной и муниципальной собственности, а также планов их содержания, ремонта и развития (строительства, реконструкции);</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з) осуществление учета и прогнозирования интенсивности движения автомобильных транспортных средств на автомобильных дорогах общего пользования и их составных частях, находящихся в государственной и муниципальной собственности, а также разработка мер по повышению их пропускной способности и благоустройству;</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и) проведение анализа дорожно-транспортных происшествий на автомобильных дорогах общего пользования и их составных частях, находящихся в государственной и муниципальной собственности, связанных с неудовлетворительными дорожными условиями, и разработка мер по устранению причин, создавших эти условия;</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к) ликвидация аварийных ситуаций на автомобильных дорогах общего пользования и их составных частях, находящихся в государственной и муниципальной собственности, в результате стихийных бедствий;</w:t>
      </w:r>
    </w:p>
    <w:p w:rsidR="00BF0067" w:rsidRPr="00BF0067"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л) подготовка и переподготовка кадров организаций дорожного хозяйства, а также материально-техническое развитие учебной и нормативно-технической базы;</w:t>
      </w:r>
    </w:p>
    <w:p w:rsidR="0033409E" w:rsidRPr="002D2982" w:rsidRDefault="00BF0067" w:rsidP="00BF0067">
      <w:pPr>
        <w:pStyle w:val="a3"/>
        <w:ind w:firstLine="709"/>
        <w:jc w:val="both"/>
        <w:rPr>
          <w:rFonts w:ascii="Times New Roman" w:hAnsi="Times New Roman" w:cs="Times New Roman"/>
          <w:sz w:val="24"/>
          <w:szCs w:val="24"/>
        </w:rPr>
      </w:pPr>
      <w:r w:rsidRPr="00BF0067">
        <w:rPr>
          <w:rFonts w:ascii="Times New Roman" w:hAnsi="Times New Roman" w:cs="Times New Roman"/>
          <w:sz w:val="24"/>
          <w:szCs w:val="24"/>
        </w:rPr>
        <w:t>м) проведение конкурсов с целью заключения договоров на выполнение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w:t>
      </w:r>
    </w:p>
    <w:p w:rsidR="00437966" w:rsidRPr="002D2982" w:rsidRDefault="00437966" w:rsidP="002D2982">
      <w:pPr>
        <w:pStyle w:val="a3"/>
        <w:ind w:firstLine="709"/>
        <w:jc w:val="both"/>
        <w:rPr>
          <w:rFonts w:ascii="Times New Roman" w:hAnsi="Times New Roman" w:cs="Times New Roman"/>
          <w:strike/>
          <w:sz w:val="24"/>
          <w:szCs w:val="24"/>
        </w:rPr>
      </w:pPr>
    </w:p>
    <w:p w:rsidR="00437966" w:rsidRPr="00A95BE8" w:rsidRDefault="00437966" w:rsidP="002D2982">
      <w:pPr>
        <w:pStyle w:val="a3"/>
        <w:ind w:firstLine="709"/>
        <w:jc w:val="center"/>
        <w:outlineLvl w:val="0"/>
        <w:rPr>
          <w:rFonts w:ascii="Times New Roman" w:hAnsi="Times New Roman" w:cs="Times New Roman"/>
          <w:b/>
          <w:sz w:val="24"/>
          <w:szCs w:val="24"/>
        </w:rPr>
      </w:pPr>
      <w:r w:rsidRPr="00A95BE8">
        <w:rPr>
          <w:rFonts w:ascii="Times New Roman" w:hAnsi="Times New Roman" w:cs="Times New Roman"/>
          <w:b/>
          <w:sz w:val="24"/>
          <w:szCs w:val="24"/>
        </w:rPr>
        <w:t>Статья 3. Образование и использование Дорожного фонда</w:t>
      </w:r>
    </w:p>
    <w:p w:rsidR="00437966" w:rsidRPr="00A95BE8" w:rsidRDefault="00437966" w:rsidP="002D2982">
      <w:pPr>
        <w:pStyle w:val="a3"/>
        <w:ind w:firstLine="709"/>
        <w:jc w:val="center"/>
        <w:rPr>
          <w:rFonts w:ascii="Times New Roman" w:hAnsi="Times New Roman" w:cs="Times New Roman"/>
          <w:b/>
          <w:sz w:val="24"/>
          <w:szCs w:val="24"/>
        </w:rPr>
      </w:pPr>
      <w:r w:rsidRPr="00A95BE8">
        <w:rPr>
          <w:rFonts w:ascii="Times New Roman" w:hAnsi="Times New Roman" w:cs="Times New Roman"/>
          <w:b/>
          <w:sz w:val="24"/>
          <w:szCs w:val="24"/>
        </w:rPr>
        <w:t>Приднестровской Молдавской Республики</w:t>
      </w:r>
    </w:p>
    <w:p w:rsidR="00626D31" w:rsidRPr="002D2982" w:rsidRDefault="00626D31" w:rsidP="002D2982">
      <w:pPr>
        <w:pStyle w:val="a3"/>
        <w:ind w:firstLine="709"/>
        <w:jc w:val="both"/>
        <w:rPr>
          <w:rFonts w:ascii="Times New Roman" w:hAnsi="Times New Roman" w:cs="Times New Roman"/>
          <w:sz w:val="24"/>
          <w:szCs w:val="24"/>
        </w:rPr>
      </w:pP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1. Порядок образования Дорожного фонда Приднестровской Молдавской Республики устанавливается настоящим Законом.</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 xml:space="preserve">Денежные средства, поступившие за счет источников образования Дорожного фонда Приднестровской Молдавской Республики, зачисляются в полном объеме в доход республиканского бюджета Приднестровской Молдавской Республики на счета Дорожного фонда Приднестровской Молдавской Республики в соответствии с выписками из лицевых счетов уполномоченного Правительством Приднестровской Молдавской Республики исполнительного органа государственной власти, ежедневно предоставляемых Приднестровским республиканским банком. </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 xml:space="preserve">2. Средства, поступившие на счета Дорожного фонда Приднестровской Молдавской Республики, за исключением доходов, поступающих от налога с владельцев транспортных средств, направляются местным бюджетам городов (районов) в виде субсидий на финансирование направлений, указанных в статье 2 настоящего Закона, пропорционально приведенной </w:t>
      </w:r>
      <w:r w:rsidRPr="005B4CB8">
        <w:rPr>
          <w:rFonts w:ascii="Times New Roman" w:hAnsi="Times New Roman" w:cs="Times New Roman"/>
          <w:sz w:val="24"/>
          <w:szCs w:val="24"/>
        </w:rPr>
        <w:lastRenderedPageBreak/>
        <w:t xml:space="preserve">протяженности автомобильных дорог общего пользования и их составных частей, находящихся в государственной и муниципальной собственности, утвержденной нормативным правовым актом Правительства Приднестровской Молдавской Республики. </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 xml:space="preserve">Средства, поступающие на счета Дорожного фонда Приднестровской Молдавской Республики от налога с владельцев транспортных средств, в полном объеме направляются в местные бюджеты городов (районов) в виде субсидий на финансирование направлений, указанных в статье 2 настоящего Закона в отношении автомобильных дорог общего пользования и их составных частей, находящихся в государственной и муниципальной собственности, по месту уплаты налога. </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 xml:space="preserve">Средства, выделяемые местным бюджетам городов и районов, не подлежат изъятию или расходованию по направлениям, не предусмотренным статьей 2 настоящего Закона. </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3. Расходование денежных средств Дорожного фонда Приднестровской Молдавской Республики по направлениям, указанным в статье 2 настоящего Закона, устанавливается законом Приднестровской Молдавской Республики о республиканском бюджете на соответствующий финансовый год.</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В случаях, когда бюджеты различных уровней до начала календарного года не утверждены, разрешить финансирование выполнения работ по зимнему содержанию автомобильных дорог общего пользования, в размере не более 1/12 (одной двенадцатой) в расчете на один зимний месяц от сумм фактических расходов на содержание дорог предыдущего финансового года без утвержденных в установленном порядке программ развития дорожной отрасли.</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Порядок финансирования выполнения работ по зимнему содержанию автомобильных дорог общего пользования, находящихся в государственной и муниципальной формах собственности, в размере не более 1/12 (одной двенадцатой) от сумм фактических расходов на содержание дорог предыдущего финансового года устанавливается Правительством Приднестровской Молдавской Республики.</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4. Направления расходования средств Дорожного фонда Приднестровской Молдавской Республики в объемах, определенных законом Приднестровской Молдавской Республики о республиканском бюджете на соответствующий финансовый год, определяются программами развития дорожной отрасли на соответствующий финансовый год.</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 xml:space="preserve">Программы развития дорожной отрасли на соответствующий финансовый год за счет средств, выделяемых из Дорожного фонда Приднестровской Молдавской Республики, разрабатываются уполномоченным Правительством Приднестровской Молдавской Республики исполнительным органом (органами) государственной власти пропорционально приведенной протяженности автомобильных дорог общего пользования и их составных частей, находящихся в государственной и муниципальной собственности, в соответствии с функциональной классификацией автомобильных дорог Приднестровской Молдавской Республики. </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Программы развития дорожной отрасли на соответствующий финансовый год за счет средств, выделяемых из Дорожного фонда Приднестровской Молдавской Республики, включают:</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а) направления расходования средств с указанием сумм расходов на содержание, ремонт и развитие (строительство, реконструкцию) автомобильных дорог общего пользования и их составных частей, находящихся в государственной собственности, в том числе с указанием магистральных и республиканских автомобильных дорог общего пользования и их составных частей, подготовку и переподготовку кадров организаций дорожного хозяйства, приобретение производственного оборудования, утверждаемые приложением к закону о республиканском бюджете на соответствующий финансовый год, – программа развития дорожной отрасли по автомобильным дорогам общего пользования и их составных частей, находящихся в государственной собственности, подготовки и переподготовки кадров организаций дорожного хозяйства и приобретения производственного оборудования;</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 xml:space="preserve">б) направления расходования средств с указанием сумм расходов на содержание, ремонт и развитие (строительство, реконструкцию) автомобильных дорог общего пользования и их составных частей, находящихся в муниципальной собственности, в том числе с указанием местных автомобильных дорог общего пользования и их составных частей – программы развития дорожной </w:t>
      </w:r>
      <w:r w:rsidRPr="005B4CB8">
        <w:rPr>
          <w:rFonts w:ascii="Times New Roman" w:hAnsi="Times New Roman" w:cs="Times New Roman"/>
          <w:sz w:val="24"/>
          <w:szCs w:val="24"/>
        </w:rPr>
        <w:lastRenderedPageBreak/>
        <w:t>отрасли по автомобильным дорогам общего пользования и их составных частей, находящихся в муниципальной собственности.</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Сумма расходов на содержание автомобильных дорог общего пользования и их составных частей, находящихся в государственной и муниципальной собственности, в части организации и функционирования уличного освещения, а также на финансирование мероприятий по ремонту и содержанию проездов, внутриквартальных и дворовых проездов, утвержденная в порядке, предусмотренном настоящей статьей, должна составлять не более 40 процентов от плановой суммы субсидий, направляемой из республиканского бюджета местным бюджетам на финансирование направлений, указанных в статье 2 настоящего Закона.</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Распределение средств между направлениями расходования средств, указанными в подпунктах а) и б) части третьей настоящего пункта, устанавливается законом Приднестровской Молдавской Республики о республиканском бюджете на соответствующий финансовый год.</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Направления расходования средств с указанием сумм расходов на содержание, ремонт и развитие (строительство, реконструкцию) автомобильных дорог общего пользования и их составных частей, находящихся в государственной собственности, в том числе с указанием магистральных и республиканских автомобильных дорог общего пользования и их составных частей, подготовку и переподготовку кадров организаций дорожного хозяйства, приобретение производственного оборудования представляются Правительством Приднестровской Молдавской Республики на утверждение Верховному Совету Приднестровской Молдавской Республики в составе проекта закона о республиканском бюджете на соответствующий финансовый год.</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Направления расходования средств с указанием сумм расходов на содержание, ремонт и развитие (строительство, реконструкцию) автомобильных дорог общего пользования и их составных частей, находящихся в муниципальной собственности, в том числе с указанием местных автомобильных дорог общего пользования и их составных частей, представляются уполномоченным Правительством Приднестровской Молдавской Республики исполнительным органом (органами) государственной власти на утверждение районным (городским) Советам народных депутатов Приднестровской Молдавской Республики в составе проектов решений местных бюджетов на соответствующий финансовый год.</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5. Контроль за целевым использованием средств Дорожного фонда Приднестровской Молдавской Республики, выделяемых местным бюджетам городов (районов), осуществляют представительные органы государственной власти городов (районов), Верховный Совет Приднестровской Молдавской Республики и Счетная палата Приднестровской Молдавской Республики.</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Ответственность за нецелевое использование средств, выделяемых из Дорожного фонда Приднестровской Молдавской Республики местным бюджетам городов (районов), несут местные исполнительные органы государственной власти.</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6. Средства, используемые не по целевому назначению исполнительными органами государственной власти городов (районов), подлежат изъятию из доходов местного бюджета и зачислению в доходы Дорожного фонда Приднестровской Молдавской Республики на сумму средств нецелевого использования.</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 xml:space="preserve">7. Должностные лица, по решению которых произведено изъятие или направление средств Дорожного фонда не по назначению, несут ответственность согласно действующему законодательству Приднестровской Молдавской Республики. </w:t>
      </w:r>
    </w:p>
    <w:p w:rsidR="005B4CB8" w:rsidRPr="005B4CB8"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8. Информация об исполнении направлений расходования средств в составе программ развития дорожной отрасли на соответствующий финансовый год за счет средств, выделяемых из Дорожного фонда Приднестровской Молдавской Республики, ежеквартально направляется уполномоченным исполнительным органом (органами) государственной власти соответствующим представительным органам государственной власти, Счетной палате Приднестровской Молдавской Республики.</w:t>
      </w:r>
    </w:p>
    <w:p w:rsidR="00437966" w:rsidRPr="002D2982" w:rsidRDefault="005B4CB8" w:rsidP="005B4CB8">
      <w:pPr>
        <w:pStyle w:val="a3"/>
        <w:ind w:firstLine="709"/>
        <w:jc w:val="both"/>
        <w:rPr>
          <w:rFonts w:ascii="Times New Roman" w:hAnsi="Times New Roman" w:cs="Times New Roman"/>
          <w:sz w:val="24"/>
          <w:szCs w:val="24"/>
        </w:rPr>
      </w:pPr>
      <w:r w:rsidRPr="005B4CB8">
        <w:rPr>
          <w:rFonts w:ascii="Times New Roman" w:hAnsi="Times New Roman" w:cs="Times New Roman"/>
          <w:sz w:val="24"/>
          <w:szCs w:val="24"/>
        </w:rPr>
        <w:t xml:space="preserve">Годовой отчет об исполнении программ развития дорожной отрасли на соответствующий финансовый год за счет средств, выделяемых из Дорожного фонда Приднестровской Молдавской Республики, направляется уполномоченным исполнительным органом (органами) государственной власти соответствующим представительным органам государственной власти, </w:t>
      </w:r>
      <w:r w:rsidRPr="005B4CB8">
        <w:rPr>
          <w:rFonts w:ascii="Times New Roman" w:hAnsi="Times New Roman" w:cs="Times New Roman"/>
          <w:sz w:val="24"/>
          <w:szCs w:val="24"/>
        </w:rPr>
        <w:lastRenderedPageBreak/>
        <w:t>Счетной палате Приднестровской Молдавской Республики в составе информации об исполнении бюджета за соответствующий финансовый год.</w:t>
      </w:r>
    </w:p>
    <w:p w:rsidR="008057DD" w:rsidRPr="002D2982" w:rsidRDefault="008057DD" w:rsidP="002D2982">
      <w:pPr>
        <w:pStyle w:val="a3"/>
        <w:ind w:firstLine="709"/>
        <w:jc w:val="both"/>
        <w:rPr>
          <w:rFonts w:ascii="Times New Roman" w:hAnsi="Times New Roman" w:cs="Times New Roman"/>
          <w:strike/>
          <w:sz w:val="24"/>
          <w:szCs w:val="24"/>
        </w:rPr>
      </w:pPr>
    </w:p>
    <w:p w:rsidR="008057DD" w:rsidRPr="00A95BE8" w:rsidRDefault="008057DD" w:rsidP="002D2982">
      <w:pPr>
        <w:pStyle w:val="a3"/>
        <w:ind w:firstLine="709"/>
        <w:jc w:val="center"/>
        <w:outlineLvl w:val="0"/>
        <w:rPr>
          <w:rFonts w:ascii="Times New Roman" w:hAnsi="Times New Roman" w:cs="Times New Roman"/>
          <w:b/>
          <w:sz w:val="24"/>
          <w:szCs w:val="24"/>
        </w:rPr>
      </w:pPr>
      <w:r w:rsidRPr="00A95BE8">
        <w:rPr>
          <w:rFonts w:ascii="Times New Roman" w:hAnsi="Times New Roman" w:cs="Times New Roman"/>
          <w:b/>
          <w:sz w:val="24"/>
          <w:szCs w:val="24"/>
        </w:rPr>
        <w:t xml:space="preserve">Статья 4. Источники образования </w:t>
      </w:r>
      <w:r w:rsidR="005B4CB8">
        <w:rPr>
          <w:rFonts w:ascii="Times New Roman" w:hAnsi="Times New Roman" w:cs="Times New Roman"/>
          <w:b/>
          <w:sz w:val="24"/>
          <w:szCs w:val="24"/>
        </w:rPr>
        <w:t>Д</w:t>
      </w:r>
      <w:r w:rsidRPr="00A95BE8">
        <w:rPr>
          <w:rFonts w:ascii="Times New Roman" w:hAnsi="Times New Roman" w:cs="Times New Roman"/>
          <w:b/>
          <w:sz w:val="24"/>
          <w:szCs w:val="24"/>
        </w:rPr>
        <w:t>орожн</w:t>
      </w:r>
      <w:r w:rsidR="005B4CB8">
        <w:rPr>
          <w:rFonts w:ascii="Times New Roman" w:hAnsi="Times New Roman" w:cs="Times New Roman"/>
          <w:b/>
          <w:sz w:val="24"/>
          <w:szCs w:val="24"/>
        </w:rPr>
        <w:t>ого</w:t>
      </w:r>
      <w:r w:rsidRPr="00A95BE8">
        <w:rPr>
          <w:rFonts w:ascii="Times New Roman" w:hAnsi="Times New Roman" w:cs="Times New Roman"/>
          <w:b/>
          <w:sz w:val="24"/>
          <w:szCs w:val="24"/>
        </w:rPr>
        <w:t xml:space="preserve"> </w:t>
      </w:r>
      <w:r w:rsidR="005B4CB8">
        <w:rPr>
          <w:rFonts w:ascii="Times New Roman" w:hAnsi="Times New Roman" w:cs="Times New Roman"/>
          <w:b/>
          <w:sz w:val="24"/>
          <w:szCs w:val="24"/>
        </w:rPr>
        <w:t>Ф</w:t>
      </w:r>
      <w:r w:rsidRPr="00A95BE8">
        <w:rPr>
          <w:rFonts w:ascii="Times New Roman" w:hAnsi="Times New Roman" w:cs="Times New Roman"/>
          <w:b/>
          <w:sz w:val="24"/>
          <w:szCs w:val="24"/>
        </w:rPr>
        <w:t>онд</w:t>
      </w:r>
      <w:r w:rsidR="005B4CB8">
        <w:rPr>
          <w:rFonts w:ascii="Times New Roman" w:hAnsi="Times New Roman" w:cs="Times New Roman"/>
          <w:b/>
          <w:sz w:val="24"/>
          <w:szCs w:val="24"/>
        </w:rPr>
        <w:t>а</w:t>
      </w:r>
    </w:p>
    <w:p w:rsidR="008057DD" w:rsidRPr="002D2982" w:rsidRDefault="008057DD" w:rsidP="002D2982">
      <w:pPr>
        <w:pStyle w:val="a3"/>
        <w:ind w:firstLine="709"/>
        <w:jc w:val="both"/>
        <w:rPr>
          <w:rFonts w:ascii="Times New Roman" w:hAnsi="Times New Roman" w:cs="Times New Roman"/>
          <w:sz w:val="24"/>
          <w:szCs w:val="24"/>
        </w:rPr>
      </w:pPr>
    </w:p>
    <w:p w:rsidR="005B4CB8" w:rsidRDefault="005B4CB8" w:rsidP="005B4CB8">
      <w:pPr>
        <w:autoSpaceDE w:val="0"/>
        <w:autoSpaceDN w:val="0"/>
        <w:adjustRightInd w:val="0"/>
        <w:ind w:firstLine="709"/>
        <w:jc w:val="both"/>
      </w:pPr>
      <w:r>
        <w:t>1. Целевые бюджетные средства Дорожного фонда образуются за счет:</w:t>
      </w:r>
    </w:p>
    <w:p w:rsidR="005B4CB8" w:rsidRDefault="005B4CB8" w:rsidP="005B4CB8">
      <w:pPr>
        <w:autoSpaceDE w:val="0"/>
        <w:autoSpaceDN w:val="0"/>
        <w:adjustRightInd w:val="0"/>
        <w:ind w:firstLine="709"/>
        <w:jc w:val="both"/>
      </w:pPr>
      <w:r>
        <w:t xml:space="preserve">а) отчислений от налога на доходы организаций, размер которых устанавливается законодательными актами Приднестровской Молдавской Республики; </w:t>
      </w:r>
    </w:p>
    <w:p w:rsidR="005B4CB8" w:rsidRDefault="005B4CB8" w:rsidP="005B4CB8">
      <w:pPr>
        <w:autoSpaceDE w:val="0"/>
        <w:autoSpaceDN w:val="0"/>
        <w:adjustRightInd w:val="0"/>
        <w:ind w:firstLine="709"/>
        <w:jc w:val="both"/>
      </w:pPr>
      <w:r>
        <w:t xml:space="preserve">б) 100 процентов от налога с владельцев транспортных средств; </w:t>
      </w:r>
    </w:p>
    <w:p w:rsidR="005B4CB8" w:rsidRDefault="005B4CB8" w:rsidP="005B4CB8">
      <w:pPr>
        <w:autoSpaceDE w:val="0"/>
        <w:autoSpaceDN w:val="0"/>
        <w:adjustRightInd w:val="0"/>
        <w:ind w:firstLine="709"/>
        <w:jc w:val="both"/>
      </w:pPr>
      <w:r>
        <w:t>б-1) исключен;</w:t>
      </w:r>
    </w:p>
    <w:p w:rsidR="005B4CB8" w:rsidRDefault="005B4CB8" w:rsidP="005B4CB8">
      <w:pPr>
        <w:autoSpaceDE w:val="0"/>
        <w:autoSpaceDN w:val="0"/>
        <w:adjustRightInd w:val="0"/>
        <w:ind w:firstLine="709"/>
        <w:jc w:val="both"/>
      </w:pPr>
      <w:r>
        <w:t>в) отчислений от единого таможенного платежа, в составе которого учитываются средства от уплаты:</w:t>
      </w:r>
    </w:p>
    <w:p w:rsidR="005B4CB8" w:rsidRDefault="005B4CB8" w:rsidP="005B4CB8">
      <w:pPr>
        <w:autoSpaceDE w:val="0"/>
        <w:autoSpaceDN w:val="0"/>
        <w:adjustRightInd w:val="0"/>
        <w:ind w:firstLine="709"/>
        <w:jc w:val="both"/>
      </w:pPr>
      <w:r>
        <w:t xml:space="preserve">1) 100 процентов от сбора за проезд по автомобильным дорогам Приднестровской Молдавской Республики транспортных средств полной массой более 18 тонн, не зарегистрированных в Приднестровской Молдавской Республике, а также сборов, установленных в соответствии с пунктом 5 статьи 5-1 настоящего Закона; </w:t>
      </w:r>
    </w:p>
    <w:p w:rsidR="005B4CB8" w:rsidRDefault="005B4CB8" w:rsidP="005B4CB8">
      <w:pPr>
        <w:autoSpaceDE w:val="0"/>
        <w:autoSpaceDN w:val="0"/>
        <w:adjustRightInd w:val="0"/>
        <w:ind w:firstLine="709"/>
        <w:jc w:val="both"/>
      </w:pPr>
      <w:r>
        <w:t xml:space="preserve">2) 100 процентов от сбора за въезд и проезд по автомобильным дорогам Приднестровской Молдавской Республики транспортных средств, </w:t>
      </w:r>
    </w:p>
    <w:p w:rsidR="005B4CB8" w:rsidRDefault="005B4CB8" w:rsidP="005B4CB8">
      <w:pPr>
        <w:autoSpaceDE w:val="0"/>
        <w:autoSpaceDN w:val="0"/>
        <w:adjustRightInd w:val="0"/>
        <w:ind w:firstLine="709"/>
        <w:jc w:val="both"/>
      </w:pPr>
      <w:r>
        <w:t>не зарегистрированных в Приднестровской Молдавской Республике;</w:t>
      </w:r>
    </w:p>
    <w:p w:rsidR="005B4CB8" w:rsidRDefault="005B4CB8" w:rsidP="005B4CB8">
      <w:pPr>
        <w:autoSpaceDE w:val="0"/>
        <w:autoSpaceDN w:val="0"/>
        <w:adjustRightInd w:val="0"/>
        <w:ind w:firstLine="709"/>
        <w:jc w:val="both"/>
      </w:pPr>
      <w:r>
        <w:t>3) 100 процентов от акцизного сбора, взимаемого при ввозе транспортных средств товарных позиций ТН ВЭД 8702, 8703, 8704, помещаемых под таможенную процедуру выпуска для внутреннего потребления, на день ввоза которых прошло 10 (десять) и более лет с даты их выпуска;</w:t>
      </w:r>
    </w:p>
    <w:p w:rsidR="005B4CB8" w:rsidRDefault="005B4CB8" w:rsidP="005B4CB8">
      <w:pPr>
        <w:autoSpaceDE w:val="0"/>
        <w:autoSpaceDN w:val="0"/>
        <w:adjustRightInd w:val="0"/>
        <w:ind w:firstLine="709"/>
        <w:jc w:val="both"/>
      </w:pPr>
      <w:r>
        <w:t xml:space="preserve">4) исключен; </w:t>
      </w:r>
    </w:p>
    <w:p w:rsidR="005B4CB8" w:rsidRDefault="005B4CB8" w:rsidP="005B4CB8">
      <w:pPr>
        <w:autoSpaceDE w:val="0"/>
        <w:autoSpaceDN w:val="0"/>
        <w:adjustRightInd w:val="0"/>
        <w:ind w:firstLine="709"/>
        <w:jc w:val="both"/>
      </w:pPr>
      <w:r>
        <w:t>5) 100 процентов от акцизного сбора от реализации газа углеводородного сжиженного, используемого в качестве автомобильного топлива;</w:t>
      </w:r>
    </w:p>
    <w:p w:rsidR="005B4CB8" w:rsidRDefault="005B4CB8" w:rsidP="005B4CB8">
      <w:pPr>
        <w:autoSpaceDE w:val="0"/>
        <w:autoSpaceDN w:val="0"/>
        <w:adjustRightInd w:val="0"/>
        <w:ind w:firstLine="709"/>
        <w:jc w:val="both"/>
      </w:pPr>
      <w:r>
        <w:t>6) 100 процентов отчислений от сбора-виньетки;</w:t>
      </w:r>
    </w:p>
    <w:p w:rsidR="005B4CB8" w:rsidRDefault="005B4CB8" w:rsidP="005B4CB8">
      <w:pPr>
        <w:autoSpaceDE w:val="0"/>
        <w:autoSpaceDN w:val="0"/>
        <w:adjustRightInd w:val="0"/>
        <w:ind w:firstLine="709"/>
        <w:jc w:val="both"/>
      </w:pPr>
      <w:r>
        <w:t>7) 100 процентов от сбора за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перевозящих некоторые категории товаров, а также сбора, установленного в соответствии с частью шестой пункта 3 статьи 5-2 настоящего Закона.</w:t>
      </w:r>
    </w:p>
    <w:p w:rsidR="005B4CB8" w:rsidRDefault="005B4CB8" w:rsidP="005B4CB8">
      <w:pPr>
        <w:autoSpaceDE w:val="0"/>
        <w:autoSpaceDN w:val="0"/>
        <w:adjustRightInd w:val="0"/>
        <w:ind w:firstLine="709"/>
        <w:jc w:val="both"/>
      </w:pPr>
      <w:r>
        <w:t>г) 100 процентов средств, поступающих от уплаты штрафов и возмещения ущерба за порчу автомобильных дорог, в том числе дорожных сооружений, являющихся их технологической частью, и насаждений вдоль автомобильных дорог;</w:t>
      </w:r>
    </w:p>
    <w:p w:rsidR="005B4CB8" w:rsidRDefault="005B4CB8" w:rsidP="005B4CB8">
      <w:pPr>
        <w:autoSpaceDE w:val="0"/>
        <w:autoSpaceDN w:val="0"/>
        <w:adjustRightInd w:val="0"/>
        <w:ind w:firstLine="709"/>
        <w:jc w:val="both"/>
      </w:pPr>
      <w:r>
        <w:t>д) 100 процентов акцизного сбора от реализации газа углеводородного сжиженного, используемого в качестве автомобильного топлива.</w:t>
      </w:r>
    </w:p>
    <w:p w:rsidR="005B4CB8" w:rsidRDefault="005B4CB8" w:rsidP="005B4CB8">
      <w:pPr>
        <w:autoSpaceDE w:val="0"/>
        <w:autoSpaceDN w:val="0"/>
        <w:adjustRightInd w:val="0"/>
        <w:ind w:firstLine="709"/>
        <w:jc w:val="both"/>
      </w:pPr>
      <w:r>
        <w:t>В Дорожный фонд также могут направляться средства от проведения займов, добровольных взносов и иных не запрещенных законодательными актами Приднестровской Молдавской Республики источников финансирования.</w:t>
      </w:r>
    </w:p>
    <w:p w:rsidR="005B4CB8" w:rsidRDefault="005B4CB8" w:rsidP="005B4CB8">
      <w:pPr>
        <w:autoSpaceDE w:val="0"/>
        <w:autoSpaceDN w:val="0"/>
        <w:adjustRightInd w:val="0"/>
        <w:ind w:firstLine="709"/>
        <w:jc w:val="both"/>
      </w:pPr>
      <w:r>
        <w:t>Для целей реализации статьи 5 настоящего Закона под транспортными средствами понимаются устройства, предназначенные для перевозки пассажиров (людей), грузов и (или) оборудования, установленного на них, а также устройства, предназначенные для выполнения определенных специализированных функций, буксировки или толкания других транспортных средств, передвижных устройств или грузов, в том числе: легковые автомобили, мотоциклы и мотороллеры, автобусы, грузовые автомобили, прицепы и полуприцепы, самоходные машины и механизмы на пневматическом ходу.</w:t>
      </w:r>
    </w:p>
    <w:p w:rsidR="008057DD" w:rsidRDefault="005B4CB8" w:rsidP="005B4CB8">
      <w:pPr>
        <w:autoSpaceDE w:val="0"/>
        <w:autoSpaceDN w:val="0"/>
        <w:adjustRightInd w:val="0"/>
        <w:ind w:firstLine="709"/>
        <w:jc w:val="both"/>
      </w:pPr>
      <w:r>
        <w:tab/>
        <w:t>2. Субсидии местным бюджетам на исполнение сметы расходов для реализации государственной политики по развитию дорожной отрасли Приднестровской Молдавской Республики на очередной финансовый год выделяются из республиканского бюджета по мере поступления денежных средств в доход Дорожного фонда Приднестровской Молдавской Республики пропорционально приведенной протяженности автомобильных дорог общего пользования, находящихся в государственной и муниципальной собственности, и их составных частей в порядке, установленном статьей 3 настоящего Закона.</w:t>
      </w:r>
    </w:p>
    <w:p w:rsidR="005B4CB8" w:rsidRPr="002D2982" w:rsidRDefault="005B4CB8" w:rsidP="005B4CB8">
      <w:pPr>
        <w:autoSpaceDE w:val="0"/>
        <w:autoSpaceDN w:val="0"/>
        <w:adjustRightInd w:val="0"/>
        <w:ind w:firstLine="709"/>
        <w:jc w:val="both"/>
      </w:pPr>
    </w:p>
    <w:p w:rsidR="008057DD" w:rsidRPr="00A95BE8" w:rsidRDefault="00437966" w:rsidP="002D2982">
      <w:pPr>
        <w:autoSpaceDE w:val="0"/>
        <w:autoSpaceDN w:val="0"/>
        <w:adjustRightInd w:val="0"/>
        <w:ind w:firstLine="709"/>
        <w:jc w:val="center"/>
        <w:outlineLvl w:val="0"/>
        <w:rPr>
          <w:b/>
        </w:rPr>
      </w:pPr>
      <w:r w:rsidRPr="00A95BE8">
        <w:rPr>
          <w:b/>
        </w:rPr>
        <w:lastRenderedPageBreak/>
        <w:t>Статья 4</w:t>
      </w:r>
      <w:r w:rsidR="00D51580" w:rsidRPr="00A95BE8">
        <w:rPr>
          <w:b/>
        </w:rPr>
        <w:t>-1</w:t>
      </w:r>
      <w:r w:rsidR="008057DD" w:rsidRPr="00A95BE8">
        <w:rPr>
          <w:b/>
        </w:rPr>
        <w:t>. Расчетный уровень</w:t>
      </w:r>
    </w:p>
    <w:p w:rsidR="008057DD" w:rsidRPr="002D2982" w:rsidRDefault="008057DD" w:rsidP="002D2982">
      <w:pPr>
        <w:autoSpaceDE w:val="0"/>
        <w:autoSpaceDN w:val="0"/>
        <w:adjustRightInd w:val="0"/>
        <w:ind w:firstLine="709"/>
        <w:jc w:val="both"/>
      </w:pPr>
    </w:p>
    <w:p w:rsidR="005B4CB8" w:rsidRDefault="005B4CB8" w:rsidP="005B4CB8">
      <w:pPr>
        <w:autoSpaceDE w:val="0"/>
        <w:autoSpaceDN w:val="0"/>
        <w:adjustRightInd w:val="0"/>
        <w:ind w:firstLine="709"/>
        <w:jc w:val="both"/>
      </w:pPr>
      <w:r>
        <w:t>Расчетный уровень (РУ) – условный норматив, применяемый при исчислении размера налогов и сборов, определенных настоящим Законом на момент их внесения (уплаты) в бюджет.</w:t>
      </w:r>
    </w:p>
    <w:p w:rsidR="005B4CB8" w:rsidRDefault="005B4CB8" w:rsidP="005B4CB8">
      <w:pPr>
        <w:autoSpaceDE w:val="0"/>
        <w:autoSpaceDN w:val="0"/>
        <w:adjustRightInd w:val="0"/>
        <w:ind w:firstLine="709"/>
        <w:jc w:val="both"/>
      </w:pPr>
      <w:r>
        <w:t>Расчетный уровень подлежит ежегодной корректировке на поправочный коэффициент, определяемый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исходя из базового размера, установленного статьей 9-1 настоящего Закона. Поправочный коэффициент определяется нарастающим итогом, путем ежегодной индексации на сложившийся индекс инфляции, в порядке, установленном Правительством Приднестровской Молдавской Республики, и подлежит официальному опубликованию.</w:t>
      </w:r>
    </w:p>
    <w:p w:rsidR="00437966" w:rsidRDefault="005B4CB8" w:rsidP="005B4CB8">
      <w:pPr>
        <w:autoSpaceDE w:val="0"/>
        <w:autoSpaceDN w:val="0"/>
        <w:adjustRightInd w:val="0"/>
        <w:ind w:firstLine="709"/>
        <w:jc w:val="both"/>
      </w:pPr>
      <w:r>
        <w:t>При этом в случае, если в результате индексации поправочный коэффициент текущего года составит величину менее чем в предшествующем, для расчета принимается поправочный коэффициент предшествующего года.</w:t>
      </w:r>
    </w:p>
    <w:p w:rsidR="005B4CB8" w:rsidRPr="002D2982" w:rsidRDefault="005B4CB8" w:rsidP="005B4CB8">
      <w:pPr>
        <w:autoSpaceDE w:val="0"/>
        <w:autoSpaceDN w:val="0"/>
        <w:adjustRightInd w:val="0"/>
        <w:ind w:firstLine="709"/>
        <w:jc w:val="both"/>
      </w:pPr>
    </w:p>
    <w:p w:rsidR="00DF2418" w:rsidRPr="00A95BE8" w:rsidRDefault="00DF2418" w:rsidP="002D2982">
      <w:pPr>
        <w:ind w:firstLine="709"/>
        <w:jc w:val="center"/>
        <w:rPr>
          <w:b/>
        </w:rPr>
      </w:pPr>
      <w:r w:rsidRPr="00A95BE8">
        <w:rPr>
          <w:b/>
        </w:rPr>
        <w:t>Статья 5. Налог с владельцев транспортных средств</w:t>
      </w:r>
    </w:p>
    <w:p w:rsidR="00A95BE8" w:rsidRDefault="00A95BE8" w:rsidP="002D2982">
      <w:pPr>
        <w:ind w:firstLine="709"/>
        <w:jc w:val="both"/>
        <w:rPr>
          <w:bCs/>
        </w:rPr>
      </w:pPr>
      <w:bookmarkStart w:id="1" w:name="_Hlk13151924"/>
    </w:p>
    <w:bookmarkEnd w:id="1"/>
    <w:p w:rsidR="005B4CB8" w:rsidRPr="005B4CB8" w:rsidRDefault="005B4CB8" w:rsidP="005B4CB8">
      <w:pPr>
        <w:ind w:firstLine="709"/>
        <w:jc w:val="both"/>
        <w:rPr>
          <w:bCs/>
        </w:rPr>
      </w:pPr>
      <w:r w:rsidRPr="005B4CB8">
        <w:rPr>
          <w:bCs/>
        </w:rPr>
        <w:t>1. Плательщиками налога с владельцев транспортных средств (далее в настоящей статье именуемые плательщиками) признаются:</w:t>
      </w:r>
    </w:p>
    <w:p w:rsidR="005B4CB8" w:rsidRPr="005B4CB8" w:rsidRDefault="005B4CB8" w:rsidP="005B4CB8">
      <w:pPr>
        <w:ind w:firstLine="709"/>
        <w:jc w:val="both"/>
        <w:rPr>
          <w:bCs/>
        </w:rPr>
      </w:pPr>
      <w:r w:rsidRPr="005B4CB8">
        <w:rPr>
          <w:bCs/>
        </w:rPr>
        <w:t>а) юридические лица, образованные в соответствии с законодательством Приднестровской Молдавской Республики или законодательством иностранных государств, филиалы и представительства указанных юридических лиц, за которыми зарегистрированы транспортные средства в соответствии с законодательством Приднестровской Молдавской Республики;</w:t>
      </w:r>
    </w:p>
    <w:p w:rsidR="005B4CB8" w:rsidRPr="005B4CB8" w:rsidRDefault="005B4CB8" w:rsidP="005B4CB8">
      <w:pPr>
        <w:ind w:firstLine="709"/>
        <w:jc w:val="both"/>
        <w:rPr>
          <w:bCs/>
        </w:rPr>
      </w:pPr>
      <w:r w:rsidRPr="005B4CB8">
        <w:rPr>
          <w:bCs/>
        </w:rPr>
        <w:t>б) юридические лица, образованные в соответствии с законодательством Приднестровской Молдавской Республики или законодательством иностранных государств, филиалы и представительства указанных юридических лиц, осуществляющие деятельность по перевозке пассажиров и багажа, включая такси, которым физическими лицами предоставлены во временное владение и (или) пользование транспортные средства.</w:t>
      </w:r>
    </w:p>
    <w:p w:rsidR="005B4CB8" w:rsidRPr="005B4CB8" w:rsidRDefault="005B4CB8" w:rsidP="005B4CB8">
      <w:pPr>
        <w:ind w:firstLine="709"/>
        <w:jc w:val="both"/>
        <w:rPr>
          <w:bCs/>
        </w:rPr>
      </w:pPr>
      <w:r w:rsidRPr="005B4CB8">
        <w:rPr>
          <w:bCs/>
        </w:rPr>
        <w:t>Ставки налога с владельцев транспортных средств устанавливаются в соответствии с таблицей ставок согласно Приложению № 1 к настоящему Закону.</w:t>
      </w:r>
    </w:p>
    <w:p w:rsidR="005B4CB8" w:rsidRPr="005B4CB8" w:rsidRDefault="005B4CB8" w:rsidP="005B4CB8">
      <w:pPr>
        <w:ind w:firstLine="709"/>
        <w:jc w:val="both"/>
        <w:rPr>
          <w:bCs/>
        </w:rPr>
      </w:pPr>
      <w:r w:rsidRPr="005B4CB8">
        <w:rPr>
          <w:bCs/>
        </w:rPr>
        <w:t>В случае невозможности определения объема двигателя транспортного средства размер годового налога составляет 50 расчетных уровней.</w:t>
      </w:r>
    </w:p>
    <w:p w:rsidR="005B4CB8" w:rsidRPr="005B4CB8" w:rsidRDefault="005B4CB8" w:rsidP="005B4CB8">
      <w:pPr>
        <w:ind w:firstLine="709"/>
        <w:jc w:val="both"/>
        <w:rPr>
          <w:bCs/>
        </w:rPr>
      </w:pPr>
      <w:r w:rsidRPr="005B4CB8">
        <w:rPr>
          <w:bCs/>
        </w:rPr>
        <w:t xml:space="preserve">Для автомобильных колонн войскового типа к ставкам налога, предусмотренным Приложением № 1 к настоящему Закону, применяется коэффициент 0,5. </w:t>
      </w:r>
    </w:p>
    <w:p w:rsidR="005B4CB8" w:rsidRPr="005B4CB8" w:rsidRDefault="005B4CB8" w:rsidP="005B4CB8">
      <w:pPr>
        <w:ind w:firstLine="709"/>
        <w:jc w:val="both"/>
        <w:rPr>
          <w:bCs/>
        </w:rPr>
      </w:pPr>
      <w:r w:rsidRPr="005B4CB8">
        <w:rPr>
          <w:bCs/>
        </w:rPr>
        <w:t xml:space="preserve">Для плательщиков, занимающихся производством сельскохозяйственной продукции, имеющим по итогам предшествующего финансового года право на применение льготы, предусмотренной </w:t>
      </w:r>
    </w:p>
    <w:p w:rsidR="005B4CB8" w:rsidRPr="005B4CB8" w:rsidRDefault="005B4CB8" w:rsidP="005B4CB8">
      <w:pPr>
        <w:ind w:firstLine="709"/>
        <w:jc w:val="both"/>
        <w:rPr>
          <w:bCs/>
        </w:rPr>
      </w:pPr>
      <w:r w:rsidRPr="005B4CB8">
        <w:rPr>
          <w:bCs/>
        </w:rPr>
        <w:t>подпунктом а) пункта 2 статьи 6 Закона Приднестровской Молдавской Республики «О налоге на доходы организаций», ставки налога определяются следующим образом:</w:t>
      </w:r>
    </w:p>
    <w:p w:rsidR="005B4CB8" w:rsidRPr="005B4CB8" w:rsidRDefault="005B4CB8" w:rsidP="005B4CB8">
      <w:pPr>
        <w:ind w:firstLine="709"/>
        <w:jc w:val="both"/>
        <w:rPr>
          <w:bCs/>
        </w:rPr>
      </w:pPr>
      <w:r w:rsidRPr="005B4CB8">
        <w:rPr>
          <w:bCs/>
        </w:rPr>
        <w:t xml:space="preserve">а) к ставкам налога, предусмотренным пунктами 3 (автобусы), </w:t>
      </w:r>
    </w:p>
    <w:p w:rsidR="005B4CB8" w:rsidRPr="005B4CB8" w:rsidRDefault="005B4CB8" w:rsidP="005B4CB8">
      <w:pPr>
        <w:ind w:firstLine="709"/>
        <w:jc w:val="both"/>
        <w:rPr>
          <w:bCs/>
        </w:rPr>
      </w:pPr>
      <w:r w:rsidRPr="005B4CB8">
        <w:rPr>
          <w:bCs/>
        </w:rPr>
        <w:t>4 (грузовые автомобили), 5 (прицепы и полуприцепы) таблицы ставок согласно Приложению № 1 к настоящему Закону, применяется коэффициент 0,5;</w:t>
      </w:r>
    </w:p>
    <w:p w:rsidR="005B4CB8" w:rsidRPr="005B4CB8" w:rsidRDefault="005B4CB8" w:rsidP="005B4CB8">
      <w:pPr>
        <w:ind w:firstLine="709"/>
        <w:jc w:val="both"/>
        <w:rPr>
          <w:bCs/>
        </w:rPr>
      </w:pPr>
      <w:r w:rsidRPr="005B4CB8">
        <w:rPr>
          <w:bCs/>
        </w:rPr>
        <w:t xml:space="preserve">б) к ставкам налога, предусмотренным пунктом 6 (самоходные машины и механизмы на пневматическом ходу) таблицы ставок согласно </w:t>
      </w:r>
    </w:p>
    <w:p w:rsidR="005B4CB8" w:rsidRPr="005B4CB8" w:rsidRDefault="005B4CB8" w:rsidP="005B4CB8">
      <w:pPr>
        <w:ind w:firstLine="709"/>
        <w:jc w:val="both"/>
        <w:rPr>
          <w:bCs/>
        </w:rPr>
      </w:pPr>
      <w:r w:rsidRPr="005B4CB8">
        <w:rPr>
          <w:bCs/>
        </w:rPr>
        <w:t>Приложению № 1 к настоящему Закону, применяется коэффициент 0,1.</w:t>
      </w:r>
    </w:p>
    <w:p w:rsidR="005B4CB8" w:rsidRPr="005B4CB8" w:rsidRDefault="005B4CB8" w:rsidP="005B4CB8">
      <w:pPr>
        <w:ind w:firstLine="709"/>
        <w:jc w:val="both"/>
        <w:rPr>
          <w:bCs/>
        </w:rPr>
      </w:pPr>
      <w:r w:rsidRPr="005B4CB8">
        <w:rPr>
          <w:bCs/>
        </w:rPr>
        <w:t xml:space="preserve">2. Объектом налогообложения являются транспортные средства, зарегистрированные в установленном порядке в соответствии с законодательством Приднестровской Молдавской Республики за плательщиками либо предоставленные плательщикам, указанным в подпункте б) части первой пункта 1 настоящей статьи, физическими лицами во временное владение и (или) пользование. </w:t>
      </w:r>
    </w:p>
    <w:p w:rsidR="005B4CB8" w:rsidRPr="005B4CB8" w:rsidRDefault="005B4CB8" w:rsidP="005B4CB8">
      <w:pPr>
        <w:ind w:firstLine="709"/>
        <w:jc w:val="both"/>
        <w:rPr>
          <w:bCs/>
        </w:rPr>
      </w:pPr>
      <w:r w:rsidRPr="005B4CB8">
        <w:rPr>
          <w:bCs/>
        </w:rPr>
        <w:lastRenderedPageBreak/>
        <w:t>Не являются объектом налогообложения машины и механизмы (автокары, автопогрузчики, автогрейдеры, скреперы, экскаваторы, пресс-подборщики, электропогрузчики), используемые исключительно в пределах территории, принадлежащей плательщику.</w:t>
      </w:r>
    </w:p>
    <w:p w:rsidR="005B4CB8" w:rsidRPr="005B4CB8" w:rsidRDefault="005B4CB8" w:rsidP="005B4CB8">
      <w:pPr>
        <w:ind w:firstLine="709"/>
        <w:jc w:val="both"/>
        <w:rPr>
          <w:bCs/>
        </w:rPr>
      </w:pPr>
      <w:r w:rsidRPr="005B4CB8">
        <w:rPr>
          <w:bCs/>
        </w:rPr>
        <w:t>3. Уплата налога производится:</w:t>
      </w:r>
    </w:p>
    <w:p w:rsidR="005B4CB8" w:rsidRPr="005B4CB8" w:rsidRDefault="005B4CB8" w:rsidP="005B4CB8">
      <w:pPr>
        <w:ind w:firstLine="709"/>
        <w:jc w:val="both"/>
        <w:rPr>
          <w:bCs/>
        </w:rPr>
      </w:pPr>
      <w:r w:rsidRPr="005B4CB8">
        <w:rPr>
          <w:bCs/>
        </w:rPr>
        <w:t>а) при регистрации вновь приобретенного транспортного средства;</w:t>
      </w:r>
    </w:p>
    <w:p w:rsidR="005B4CB8" w:rsidRPr="005B4CB8" w:rsidRDefault="005B4CB8" w:rsidP="005B4CB8">
      <w:pPr>
        <w:ind w:firstLine="709"/>
        <w:jc w:val="both"/>
        <w:rPr>
          <w:bCs/>
        </w:rPr>
      </w:pPr>
      <w:r w:rsidRPr="005B4CB8">
        <w:rPr>
          <w:bCs/>
        </w:rPr>
        <w:t>б) при перерегистрации – в случае изменения владельцев транспортных средств;</w:t>
      </w:r>
    </w:p>
    <w:p w:rsidR="005B4CB8" w:rsidRPr="005B4CB8" w:rsidRDefault="005B4CB8" w:rsidP="005B4CB8">
      <w:pPr>
        <w:ind w:firstLine="709"/>
        <w:jc w:val="both"/>
        <w:rPr>
          <w:bCs/>
        </w:rPr>
      </w:pPr>
      <w:r w:rsidRPr="005B4CB8">
        <w:rPr>
          <w:bCs/>
        </w:rPr>
        <w:t>в) при постановке на временный учет транспортных средств;</w:t>
      </w:r>
    </w:p>
    <w:p w:rsidR="005B4CB8" w:rsidRPr="005B4CB8" w:rsidRDefault="005B4CB8" w:rsidP="005B4CB8">
      <w:pPr>
        <w:ind w:firstLine="709"/>
        <w:jc w:val="both"/>
        <w:rPr>
          <w:bCs/>
        </w:rPr>
      </w:pPr>
      <w:r w:rsidRPr="005B4CB8">
        <w:rPr>
          <w:bCs/>
        </w:rPr>
        <w:t>г) ежегодно в сроки, не позднее установленных исполнительным органом государственной власти, в ведении которого находятся вопросы обеспечения безопасности дорожного движения, для проведения государственного технического осмотра транспортных средств;</w:t>
      </w:r>
    </w:p>
    <w:p w:rsidR="005B4CB8" w:rsidRPr="005B4CB8" w:rsidRDefault="005B4CB8" w:rsidP="005B4CB8">
      <w:pPr>
        <w:ind w:firstLine="709"/>
        <w:jc w:val="both"/>
        <w:rPr>
          <w:bCs/>
        </w:rPr>
      </w:pPr>
      <w:r w:rsidRPr="005B4CB8">
        <w:rPr>
          <w:bCs/>
        </w:rPr>
        <w:t>д) до подачи заявлений о выдаче дополнительных свидетельств о регистрации транспортного средства в связи с предоставлением физическими лицами плательщикам, указанным в подпункте б) части первой пункта 1 настоящей статьи, во временное владение и (или) пользование транспортных средств, а также в связи с расторжением указанных сделок.</w:t>
      </w:r>
    </w:p>
    <w:p w:rsidR="005B4CB8" w:rsidRPr="005B4CB8" w:rsidRDefault="005B4CB8" w:rsidP="005B4CB8">
      <w:pPr>
        <w:ind w:firstLine="709"/>
        <w:jc w:val="both"/>
        <w:rPr>
          <w:bCs/>
        </w:rPr>
      </w:pPr>
      <w:r w:rsidRPr="005B4CB8">
        <w:rPr>
          <w:bCs/>
        </w:rPr>
        <w:t>В случае возникновения в течение года у плательщиков права на льготу по налогу они освобождаются от уплаты этого налога начиная с того месяца, в котором возникло право на льготу.</w:t>
      </w:r>
    </w:p>
    <w:p w:rsidR="005B4CB8" w:rsidRPr="005B4CB8" w:rsidRDefault="005B4CB8" w:rsidP="005B4CB8">
      <w:pPr>
        <w:ind w:firstLine="709"/>
        <w:jc w:val="both"/>
        <w:rPr>
          <w:bCs/>
        </w:rPr>
      </w:pPr>
      <w:r w:rsidRPr="005B4CB8">
        <w:rPr>
          <w:bCs/>
        </w:rPr>
        <w:t>При утрате в течение года права на льготу обложение налогом производится начиная с месяца, следующего за утратой этого права.</w:t>
      </w:r>
    </w:p>
    <w:p w:rsidR="005B4CB8" w:rsidRPr="005B4CB8" w:rsidRDefault="005B4CB8" w:rsidP="005B4CB8">
      <w:pPr>
        <w:ind w:firstLine="709"/>
        <w:jc w:val="both"/>
        <w:rPr>
          <w:bCs/>
        </w:rPr>
      </w:pPr>
      <w:r w:rsidRPr="005B4CB8">
        <w:rPr>
          <w:bCs/>
        </w:rPr>
        <w:t>Юридическим лицам, осуществляющим деятельность по перевозке пассажиров и багажа (перевозчикам), предоставляется право уплаты налога с владельцев транспортных средств за год (по транспортным средствам, осуществляющим регулярные перевозки пассажиров и багажа) не позднее 31 декабря текущего года. В течение года государственный технический осмотр данных транспортных средств осуществляется без предъявления квитанции (платежных поручений) об уплате налога с владельцев транспортных средств.</w:t>
      </w:r>
    </w:p>
    <w:p w:rsidR="005B4CB8" w:rsidRPr="005B4CB8" w:rsidRDefault="005B4CB8" w:rsidP="005B4CB8">
      <w:pPr>
        <w:ind w:firstLine="709"/>
        <w:jc w:val="both"/>
        <w:rPr>
          <w:bCs/>
        </w:rPr>
      </w:pPr>
      <w:r w:rsidRPr="005B4CB8">
        <w:rPr>
          <w:bCs/>
        </w:rPr>
        <w:t xml:space="preserve">4. Регистрация, перерегистрация, постановка на временный учет или государственный технический осмотр транспортных средств, являющихся объектами налогообложения, указанными в пункте 2 настоящей статьи, без предъявления квитанции или платежного поручения об уплате налога не производятся, за исключением случая, предусмотренного частью четвертой пункта 3 настоящей статьи. </w:t>
      </w:r>
    </w:p>
    <w:p w:rsidR="005B4CB8" w:rsidRPr="005B4CB8" w:rsidRDefault="005B4CB8" w:rsidP="00231F07">
      <w:pPr>
        <w:ind w:firstLine="709"/>
        <w:jc w:val="both"/>
        <w:rPr>
          <w:bCs/>
        </w:rPr>
      </w:pPr>
      <w:r w:rsidRPr="005B4CB8">
        <w:rPr>
          <w:bCs/>
        </w:rPr>
        <w:t>Плательщики предоставляют в налоговые органы по месту своего нахождения расчет по налогу с владельцев транспортных средств в срок до 25 декабря (включительно) текущего года по всем транспортным средствам, зарегистрированным в установленном порядке в соответствии с законодательством Приднестровской Молдавской Республики за плательщиками и (или) предоставленным плательщикам физическими лицами во временное владение и (или) пользование, и (или) снятым с учета в текущем году, по форме, утвержденной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w:t>
      </w:r>
    </w:p>
    <w:p w:rsidR="005B4CB8" w:rsidRPr="005B4CB8" w:rsidRDefault="005B4CB8" w:rsidP="005B4CB8">
      <w:pPr>
        <w:ind w:firstLine="709"/>
        <w:jc w:val="both"/>
        <w:rPr>
          <w:bCs/>
        </w:rPr>
      </w:pPr>
      <w:r w:rsidRPr="005B4CB8">
        <w:rPr>
          <w:bCs/>
        </w:rPr>
        <w:t>5. От уплаты налога освобождаются плательщики:</w:t>
      </w:r>
    </w:p>
    <w:p w:rsidR="005B4CB8" w:rsidRPr="005B4CB8" w:rsidRDefault="005B4CB8" w:rsidP="005B4CB8">
      <w:pPr>
        <w:ind w:firstLine="709"/>
        <w:jc w:val="both"/>
        <w:rPr>
          <w:bCs/>
        </w:rPr>
      </w:pPr>
      <w:r w:rsidRPr="005B4CB8">
        <w:rPr>
          <w:bCs/>
        </w:rPr>
        <w:t>а) полностью финансируемые из бюджетов различных уровней, а также центральный банк Приднестровской Молдавской Республики;</w:t>
      </w:r>
    </w:p>
    <w:p w:rsidR="005B4CB8" w:rsidRPr="005B4CB8" w:rsidRDefault="005B4CB8" w:rsidP="005B4CB8">
      <w:pPr>
        <w:ind w:firstLine="709"/>
        <w:jc w:val="both"/>
        <w:rPr>
          <w:bCs/>
        </w:rPr>
      </w:pPr>
      <w:r w:rsidRPr="005B4CB8">
        <w:rPr>
          <w:bCs/>
        </w:rPr>
        <w:t>б) по транспортным средствам, по которым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на срок от 12 (двенадцати) до 36 (тридцати шести) месяцев ввиду:</w:t>
      </w:r>
    </w:p>
    <w:p w:rsidR="005B4CB8" w:rsidRPr="005B4CB8" w:rsidRDefault="005B4CB8" w:rsidP="005B4CB8">
      <w:pPr>
        <w:ind w:firstLine="709"/>
        <w:jc w:val="both"/>
        <w:rPr>
          <w:bCs/>
        </w:rPr>
      </w:pPr>
      <w:r w:rsidRPr="005B4CB8">
        <w:rPr>
          <w:bCs/>
        </w:rPr>
        <w:t>1) неиспользования соответствующих транспортных средств;</w:t>
      </w:r>
    </w:p>
    <w:p w:rsidR="005B4CB8" w:rsidRPr="005B4CB8" w:rsidRDefault="005B4CB8" w:rsidP="005B4CB8">
      <w:pPr>
        <w:ind w:firstLine="709"/>
        <w:jc w:val="both"/>
        <w:rPr>
          <w:bCs/>
        </w:rPr>
      </w:pPr>
      <w:r w:rsidRPr="005B4CB8">
        <w:rPr>
          <w:bCs/>
        </w:rPr>
        <w:t>2) использования указанных транспортных средств исключительно в пределах территории, принадлежащей плательщику.</w:t>
      </w:r>
    </w:p>
    <w:p w:rsidR="005B4CB8" w:rsidRPr="005B4CB8" w:rsidRDefault="005B4CB8" w:rsidP="005B4CB8">
      <w:pPr>
        <w:ind w:firstLine="709"/>
        <w:jc w:val="both"/>
        <w:rPr>
          <w:bCs/>
        </w:rPr>
      </w:pPr>
      <w:r w:rsidRPr="005B4CB8">
        <w:rPr>
          <w:bCs/>
        </w:rPr>
        <w:t xml:space="preserve">Право на применение льготы, предусмотренной настоящим подпунктом, возникает (либо прекращается) при наличии соответствующего акта исполнительного органа государственной власти, в ведении которого находятся вопросы обеспечения безопасности дорожного движения, о приеме на хранение либо возврате с хранения соответствующих государственных регистрационных знаков транспортных средств, основанного на приказе руководителя </w:t>
      </w:r>
      <w:r w:rsidRPr="005B4CB8">
        <w:rPr>
          <w:bCs/>
        </w:rPr>
        <w:lastRenderedPageBreak/>
        <w:t>организации о постановке на хранение (снятии с хранения) соответствующих государственных регистрационных знаков транспортных средств.</w:t>
      </w:r>
    </w:p>
    <w:p w:rsidR="005B4CB8" w:rsidRPr="005B4CB8" w:rsidRDefault="005B4CB8" w:rsidP="005B4CB8">
      <w:pPr>
        <w:ind w:firstLine="709"/>
        <w:jc w:val="both"/>
        <w:rPr>
          <w:bCs/>
        </w:rPr>
      </w:pPr>
      <w:r w:rsidRPr="005B4CB8">
        <w:rPr>
          <w:bCs/>
        </w:rPr>
        <w:t>При необходимости использования транспортного средства, государственные регистрационные знаки которого находятся на хранении в исполнительном органе государственной власти, в ведении которого находятся вопросы обеспечения безопасности дорожного движения, в срок, не достигший 12 (двенадцати) месяцев, организация обязана произвести доначисление налога с владельцев транспортных средств за период с 1 числа месяца, в котором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до 1 числа месяца, в котором государственные регистрационные знаки транспортных средств получены с хранения в исполнительном органе государственной власти, в ведении которого находятся вопросы обеспечения безопасности дорожного движения;</w:t>
      </w:r>
    </w:p>
    <w:p w:rsidR="005B4CB8" w:rsidRPr="005B4CB8" w:rsidRDefault="005B4CB8" w:rsidP="00231F07">
      <w:pPr>
        <w:ind w:firstLine="709"/>
        <w:jc w:val="both"/>
        <w:rPr>
          <w:bCs/>
        </w:rPr>
      </w:pPr>
      <w:r w:rsidRPr="005B4CB8">
        <w:rPr>
          <w:bCs/>
        </w:rPr>
        <w:t>в) организации транспорта общего пользования, имеющие взаимоотношения с республиканским и (или) местными бюджетами по возмещению затрат, связанных с реализацией установленных законодательством Приднестровской Молдавской Республики льгот по проезду, и (или) получающие дотации (трансферты) из республиканского и (или) местных бюджетов на компенсацию убытков между затратами по расчетным тарифам и выручкой от платы за проезд, – по транспортным средствам, осуществляющим перевозки пассажиров и багажа транспортом общего пользования, при условии, что выручка от перевозки пассажиров и багажа составляет не менее 50 процентов от общей суммы дохода (выручки от реализации продукции, товаров (при этом сумма выручки от торговой деятельности организации принимается в виде показателя товарооборота), работ, услуг, других операционных доходов (за исключением дотаций (трансфертов) из республиканского и (или) местных бюджетов на компенсацию убытков между затратами по расчетным тарифам и выручкой от платы за проезд), доходов от инвестиционной деятельности, доходов от финансовой деятельности), рассчитанной в целом за предыдущий финансовый год;</w:t>
      </w:r>
    </w:p>
    <w:p w:rsidR="005B4CB8" w:rsidRPr="005B4CB8" w:rsidRDefault="005B4CB8" w:rsidP="005B4CB8">
      <w:pPr>
        <w:ind w:firstLine="709"/>
        <w:jc w:val="both"/>
        <w:rPr>
          <w:bCs/>
        </w:rPr>
      </w:pPr>
      <w:r w:rsidRPr="005B4CB8">
        <w:rPr>
          <w:bCs/>
        </w:rPr>
        <w:t>г) организации, производящие и реализующие собственную продукцию (за исключением подакцизной), выполняющие работы, оказывающие услуги, учрежденные обществами глухих и слепых, при условии, что численность инвалидов в этих организациях составляет не менее 50 процентов среднесписочной численности работников, – по транспортным средствам, используемым для выполнения уставной деятельности обществ;</w:t>
      </w:r>
    </w:p>
    <w:p w:rsidR="005B4CB8" w:rsidRPr="005B4CB8" w:rsidRDefault="005B4CB8" w:rsidP="005B4CB8">
      <w:pPr>
        <w:ind w:firstLine="709"/>
        <w:jc w:val="both"/>
        <w:rPr>
          <w:bCs/>
        </w:rPr>
      </w:pPr>
      <w:r w:rsidRPr="005B4CB8">
        <w:rPr>
          <w:bCs/>
        </w:rPr>
        <w:t>д) общественные организации глухих и слепых, целью создания которых является защита интересов инвалидов, при условии, что численность членов инвалидов в этих организациях составляет не менее 80 процентов от числа участников, – по транспортным средствам, используемым для выполнения уставной деятельности обществ;</w:t>
      </w:r>
    </w:p>
    <w:p w:rsidR="005B4CB8" w:rsidRPr="005B4CB8" w:rsidRDefault="005B4CB8" w:rsidP="005B4CB8">
      <w:pPr>
        <w:ind w:firstLine="709"/>
        <w:jc w:val="both"/>
        <w:rPr>
          <w:bCs/>
        </w:rPr>
      </w:pPr>
      <w:r w:rsidRPr="005B4CB8">
        <w:rPr>
          <w:bCs/>
        </w:rPr>
        <w:t>е) представительства иностранных государств в случаях, когда это предусмотрено международным договором Приднестровской Молдавской Республики;</w:t>
      </w:r>
    </w:p>
    <w:p w:rsidR="005B4CB8" w:rsidRPr="005B4CB8" w:rsidRDefault="005B4CB8" w:rsidP="005B4CB8">
      <w:pPr>
        <w:ind w:firstLine="709"/>
        <w:jc w:val="both"/>
        <w:rPr>
          <w:bCs/>
        </w:rPr>
      </w:pPr>
      <w:r w:rsidRPr="005B4CB8">
        <w:rPr>
          <w:bCs/>
        </w:rPr>
        <w:t xml:space="preserve">ж) по транспортным средствам, находящимся в розыске, а также транспортным средствам, розыск которых приостановлен. При этом право на льготу возникает с 1 числа месяца, в котором возбуждено уголовное дело </w:t>
      </w:r>
    </w:p>
    <w:p w:rsidR="005B4CB8" w:rsidRPr="005B4CB8" w:rsidRDefault="005B4CB8" w:rsidP="00231F07">
      <w:pPr>
        <w:ind w:firstLine="709"/>
        <w:jc w:val="both"/>
        <w:rPr>
          <w:bCs/>
        </w:rPr>
      </w:pPr>
      <w:r w:rsidRPr="005B4CB8">
        <w:rPr>
          <w:bCs/>
        </w:rPr>
        <w:t>по факту угона или хищения транспортного средства, и прекращается с 1 числа месяца, в котором данное транспортное средство возвращено плательщику, за которым оно зарегистрировано. Факты угона или хищения, возврата транспортного средства подтверждаются документом, выданным исполнительным органом государственной власти, в ведении которого находятся вопросы обеспечения безопасности дорожного движения, по утвержденной данным органом форме.</w:t>
      </w:r>
    </w:p>
    <w:p w:rsidR="005B4CB8" w:rsidRPr="005B4CB8" w:rsidRDefault="005B4CB8" w:rsidP="00231F07">
      <w:pPr>
        <w:ind w:firstLine="709"/>
        <w:jc w:val="both"/>
        <w:rPr>
          <w:bCs/>
        </w:rPr>
      </w:pPr>
      <w:r w:rsidRPr="005B4CB8">
        <w:rPr>
          <w:bCs/>
        </w:rPr>
        <w:t xml:space="preserve">6. Налог с владельцев транспортных средств исчисляется плательщиками самостоятельно исходя из количества транспортных средств, зарегистрированных в установленном порядке в соответствии с законодательством Приднестровской Молдавской Республики за плательщиками и (или) предоставленных плательщикам, указанным в подпункте б) части первой пункта 1 настоящей статьи, физическими лицами во временное владение и (или) пользование, и (или) снятых с учета в </w:t>
      </w:r>
      <w:r w:rsidRPr="005B4CB8">
        <w:rPr>
          <w:bCs/>
        </w:rPr>
        <w:lastRenderedPageBreak/>
        <w:t xml:space="preserve">текущем году, исходя из их технических характеристик, предусмотренных таблицей ставок согласно Приложению № 1 к настоящему Закону. </w:t>
      </w:r>
    </w:p>
    <w:p w:rsidR="005B4CB8" w:rsidRPr="005B4CB8" w:rsidRDefault="005B4CB8" w:rsidP="005B4CB8">
      <w:pPr>
        <w:ind w:firstLine="709"/>
        <w:jc w:val="both"/>
        <w:rPr>
          <w:bCs/>
        </w:rPr>
      </w:pPr>
      <w:r w:rsidRPr="005B4CB8">
        <w:rPr>
          <w:bCs/>
        </w:rPr>
        <w:t>Исчисление и уплата налога с владельцев транспортных средств осуществляются исходя из годовой суммы налога и количества месяцев фактического использования плательщиком транспортных средств в течение отчетного года.</w:t>
      </w:r>
    </w:p>
    <w:p w:rsidR="005B4CB8" w:rsidRPr="005B4CB8" w:rsidRDefault="005B4CB8" w:rsidP="005B4CB8">
      <w:pPr>
        <w:ind w:firstLine="709"/>
        <w:jc w:val="both"/>
        <w:rPr>
          <w:bCs/>
        </w:rPr>
      </w:pPr>
      <w:r w:rsidRPr="005B4CB8">
        <w:rPr>
          <w:bCs/>
        </w:rPr>
        <w:t xml:space="preserve">При этом начало (прекращение) периода фактического использования плательщиком транспортного средства принимается с первого числа месяца, </w:t>
      </w:r>
    </w:p>
    <w:p w:rsidR="005B4CB8" w:rsidRPr="005B4CB8" w:rsidRDefault="005B4CB8" w:rsidP="005B4CB8">
      <w:pPr>
        <w:ind w:firstLine="709"/>
        <w:jc w:val="both"/>
        <w:rPr>
          <w:bCs/>
        </w:rPr>
      </w:pPr>
      <w:r w:rsidRPr="005B4CB8">
        <w:rPr>
          <w:bCs/>
        </w:rPr>
        <w:t>в котором совершено одно (или несколько) из следующих действий:</w:t>
      </w:r>
    </w:p>
    <w:p w:rsidR="005B4CB8" w:rsidRPr="005B4CB8" w:rsidRDefault="005B4CB8" w:rsidP="005B4CB8">
      <w:pPr>
        <w:ind w:firstLine="709"/>
        <w:jc w:val="both"/>
        <w:rPr>
          <w:bCs/>
        </w:rPr>
      </w:pPr>
      <w:r w:rsidRPr="005B4CB8">
        <w:rPr>
          <w:bCs/>
        </w:rPr>
        <w:t>а) реализация (списание) транспортного средства;</w:t>
      </w:r>
    </w:p>
    <w:p w:rsidR="005B4CB8" w:rsidRPr="005B4CB8" w:rsidRDefault="005B4CB8" w:rsidP="005B4CB8">
      <w:pPr>
        <w:ind w:firstLine="709"/>
        <w:jc w:val="both"/>
        <w:rPr>
          <w:bCs/>
        </w:rPr>
      </w:pPr>
      <w:r w:rsidRPr="005B4CB8">
        <w:rPr>
          <w:bCs/>
        </w:rPr>
        <w:t>б) приобретение транспортного средства;</w:t>
      </w:r>
    </w:p>
    <w:p w:rsidR="005B4CB8" w:rsidRPr="005B4CB8" w:rsidRDefault="005B4CB8" w:rsidP="005B4CB8">
      <w:pPr>
        <w:ind w:firstLine="709"/>
        <w:jc w:val="both"/>
        <w:rPr>
          <w:bCs/>
        </w:rPr>
      </w:pPr>
      <w:r w:rsidRPr="005B4CB8">
        <w:rPr>
          <w:bCs/>
        </w:rPr>
        <w:t>в) сдача (или получение) государственных регистрационных знаков транспортных средств на срок от 12 (двенадцати) до 36 (тридцати шести) месяцев;</w:t>
      </w:r>
    </w:p>
    <w:p w:rsidR="005B4CB8" w:rsidRPr="005B4CB8" w:rsidRDefault="005B4CB8" w:rsidP="00231F07">
      <w:pPr>
        <w:ind w:firstLine="709"/>
        <w:jc w:val="both"/>
        <w:rPr>
          <w:bCs/>
        </w:rPr>
      </w:pPr>
      <w:r w:rsidRPr="005B4CB8">
        <w:rPr>
          <w:bCs/>
        </w:rPr>
        <w:t>г) сделки по получению от физических лиц транспортных средств во временное владение и (или) пользование либо прекращению права в отношении предоставленных физическими лицами транспортных средств.</w:t>
      </w:r>
    </w:p>
    <w:p w:rsidR="005B4CB8" w:rsidRPr="005B4CB8" w:rsidRDefault="005B4CB8" w:rsidP="005B4CB8">
      <w:pPr>
        <w:ind w:firstLine="709"/>
        <w:jc w:val="both"/>
        <w:rPr>
          <w:bCs/>
        </w:rPr>
      </w:pPr>
      <w:r w:rsidRPr="005B4CB8">
        <w:rPr>
          <w:bCs/>
        </w:rPr>
        <w:t>7. Полное освобождение отдельных учреждений и организаций от уплаты налога с владельцев транспортных средств или понижение его размера может осуществляться в порядке, устанавливаемом Верховным Советом Приднестровской Молдавской Республики.</w:t>
      </w:r>
    </w:p>
    <w:p w:rsidR="005B4CB8" w:rsidRPr="005B4CB8" w:rsidRDefault="005B4CB8" w:rsidP="00231F07">
      <w:pPr>
        <w:ind w:firstLine="709"/>
        <w:jc w:val="both"/>
        <w:rPr>
          <w:bCs/>
        </w:rPr>
      </w:pPr>
      <w:r w:rsidRPr="005B4CB8">
        <w:rPr>
          <w:bCs/>
        </w:rPr>
        <w:t xml:space="preserve">8. Контроль за правильностью и полнотой исчисления налога с владельцев транспортных средств плательщиками осуществляется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w:t>
      </w:r>
    </w:p>
    <w:p w:rsidR="005B4CB8" w:rsidRPr="005B4CB8" w:rsidRDefault="005B4CB8" w:rsidP="00231F07">
      <w:pPr>
        <w:ind w:firstLine="709"/>
        <w:jc w:val="both"/>
        <w:rPr>
          <w:bCs/>
        </w:rPr>
      </w:pPr>
      <w:r w:rsidRPr="005B4CB8">
        <w:rPr>
          <w:bCs/>
        </w:rPr>
        <w:t xml:space="preserve">Контроль за внесением налога с владельцев транспортных средств в бюджет осуществляется исполнительным органом государственной власти, в ведении которого находятся вопросы обеспечения безопасности дорожного движения, и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w:t>
      </w:r>
    </w:p>
    <w:p w:rsidR="002D2982" w:rsidRDefault="005B4CB8" w:rsidP="00231F07">
      <w:pPr>
        <w:jc w:val="both"/>
        <w:rPr>
          <w:bCs/>
        </w:rPr>
      </w:pPr>
      <w:r w:rsidRPr="005B4CB8">
        <w:rPr>
          <w:bCs/>
        </w:rPr>
        <w:t>и других обязательных платежей, в рамках межведомственного взаимодействия.</w:t>
      </w:r>
    </w:p>
    <w:p w:rsidR="005B4CB8" w:rsidRPr="002D2982" w:rsidRDefault="005B4CB8" w:rsidP="005B4CB8">
      <w:pPr>
        <w:ind w:firstLine="709"/>
        <w:jc w:val="both"/>
      </w:pPr>
    </w:p>
    <w:p w:rsidR="00231F07" w:rsidRPr="00231F07" w:rsidRDefault="00F82068" w:rsidP="00231F07">
      <w:pPr>
        <w:pStyle w:val="a3"/>
        <w:ind w:firstLine="709"/>
        <w:jc w:val="center"/>
        <w:rPr>
          <w:rFonts w:ascii="Times New Roman" w:hAnsi="Times New Roman" w:cs="Times New Roman"/>
          <w:b/>
          <w:sz w:val="24"/>
          <w:szCs w:val="24"/>
        </w:rPr>
      </w:pPr>
      <w:r w:rsidRPr="002D2982">
        <w:rPr>
          <w:rFonts w:ascii="Times New Roman" w:hAnsi="Times New Roman" w:cs="Times New Roman"/>
          <w:b/>
          <w:sz w:val="24"/>
          <w:szCs w:val="24"/>
        </w:rPr>
        <w:t xml:space="preserve">Статья 5-1. </w:t>
      </w:r>
      <w:r w:rsidR="00231F07" w:rsidRPr="00231F07">
        <w:rPr>
          <w:rFonts w:ascii="Times New Roman" w:hAnsi="Times New Roman" w:cs="Times New Roman"/>
          <w:b/>
          <w:sz w:val="24"/>
          <w:szCs w:val="24"/>
        </w:rPr>
        <w:t xml:space="preserve">Сбор за проезд по автомобильным дорогам </w:t>
      </w:r>
    </w:p>
    <w:p w:rsidR="00231F07" w:rsidRPr="00231F07" w:rsidRDefault="00231F07" w:rsidP="00231F07">
      <w:pPr>
        <w:pStyle w:val="a3"/>
        <w:ind w:firstLine="709"/>
        <w:jc w:val="center"/>
        <w:rPr>
          <w:rFonts w:ascii="Times New Roman" w:hAnsi="Times New Roman" w:cs="Times New Roman"/>
          <w:b/>
          <w:sz w:val="24"/>
          <w:szCs w:val="24"/>
        </w:rPr>
      </w:pPr>
      <w:r w:rsidRPr="00231F07">
        <w:rPr>
          <w:rFonts w:ascii="Times New Roman" w:hAnsi="Times New Roman" w:cs="Times New Roman"/>
          <w:b/>
          <w:sz w:val="24"/>
          <w:szCs w:val="24"/>
        </w:rPr>
        <w:t xml:space="preserve"> Приднестровской Молдавской Республики транспортных средств полной массо</w:t>
      </w:r>
      <w:r>
        <w:rPr>
          <w:rFonts w:ascii="Times New Roman" w:hAnsi="Times New Roman" w:cs="Times New Roman"/>
          <w:b/>
          <w:sz w:val="24"/>
          <w:szCs w:val="24"/>
        </w:rPr>
        <w:t xml:space="preserve">й </w:t>
      </w:r>
      <w:r w:rsidRPr="00231F07">
        <w:rPr>
          <w:rFonts w:ascii="Times New Roman" w:hAnsi="Times New Roman" w:cs="Times New Roman"/>
          <w:b/>
          <w:sz w:val="24"/>
          <w:szCs w:val="24"/>
        </w:rPr>
        <w:t xml:space="preserve">более 18 тонн, не зарегистрированных в Приднестровской Молдавской </w:t>
      </w:r>
    </w:p>
    <w:p w:rsidR="00F82068" w:rsidRPr="002D2982" w:rsidRDefault="00231F07" w:rsidP="00231F07">
      <w:pPr>
        <w:pStyle w:val="a3"/>
        <w:ind w:firstLine="709"/>
        <w:jc w:val="center"/>
        <w:rPr>
          <w:rFonts w:ascii="Times New Roman" w:hAnsi="Times New Roman" w:cs="Times New Roman"/>
          <w:b/>
          <w:sz w:val="24"/>
          <w:szCs w:val="24"/>
        </w:rPr>
      </w:pPr>
      <w:r w:rsidRPr="00231F07">
        <w:rPr>
          <w:rFonts w:ascii="Times New Roman" w:hAnsi="Times New Roman" w:cs="Times New Roman"/>
          <w:b/>
          <w:sz w:val="24"/>
          <w:szCs w:val="24"/>
        </w:rPr>
        <w:t xml:space="preserve"> Республике</w:t>
      </w:r>
    </w:p>
    <w:p w:rsidR="002D2982" w:rsidRPr="002D2982" w:rsidRDefault="002D2982" w:rsidP="002D2982">
      <w:pPr>
        <w:pStyle w:val="a3"/>
        <w:ind w:firstLine="709"/>
        <w:jc w:val="center"/>
        <w:rPr>
          <w:rFonts w:ascii="Times New Roman" w:hAnsi="Times New Roman" w:cs="Times New Roman"/>
          <w:b/>
          <w:sz w:val="24"/>
          <w:szCs w:val="24"/>
        </w:rPr>
      </w:pP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1. Плательщиками сбора за проезд по автомобильным дорогам Приднестровской Молдавской Республики транспортных средств полной массой более 18 тонн, не зарегистрированных в Приднестровской Молдавской Республике (далее по тексту настоящей статьи – сбор), являются физические лица, в том числе иностранные граждане и лица без гражданства, а также юридические лица, использующие автомобильные дороги Приднестровской Молдавской Республики для передвижения по ним транспортных средств, являющихся объектом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случае перемещения транспортных средств, являющихся объектом сбора и следующих в адрес хозяйствующих субъектов Приднестровской Молдавской Республики, плательщиками сбора могут выступать хозяйствующие субъекты Приднестровской Молдавской Республики, в адрес которых следуют транспортные средства.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Порядок уплаты сбора хозяйствующими субъектами Приднестровской Молдавской Республики, в адрес которых следуют транспортные средства, утверждается совместным нормативным правовым актом исполнительного органа государственной власти, осуществляющего непосредственное руководство таможенным делом, и исполнительного органа государственной власти, в ведении которого находятся вопросы экономической политики.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 xml:space="preserve">2. Объектом сбора являются транспортные средства, предназначенные для перевозки пассажиров и их багажа или грузов (то есть транспортные средства, за исключением тягачей и </w:t>
      </w:r>
      <w:r w:rsidRPr="00231F07">
        <w:rPr>
          <w:rFonts w:ascii="Times New Roman" w:hAnsi="Times New Roman" w:cs="Times New Roman"/>
          <w:sz w:val="24"/>
          <w:szCs w:val="24"/>
        </w:rPr>
        <w:lastRenderedPageBreak/>
        <w:t>автомобилей специального назначения), не зарегистрированные в Приднестровской Молдавской Республике, въезжающие на территорию Приднестровской Молдавской Республики и передвигающиеся по ее автомобильным дорогам, полная масса которых (каждого в отдельности) превышает 18 тонн, за исключением транспортных средств, в отношении которых подлежит уплате сбор за проезд по автомобильным дорогам Приднестровской Молдавской Республики, предусмотренный статьей 5-2 настоящего Закона.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3. Уплата сбора в бюджет осуществляется в составе единого таможенного платежа по следующим видам сбора и ставкам:</w:t>
      </w:r>
    </w:p>
    <w:p w:rsidR="00231F07" w:rsidRPr="00231F07" w:rsidRDefault="00231F07" w:rsidP="00231F07">
      <w:pPr>
        <w:pStyle w:val="a3"/>
        <w:ind w:firstLine="709"/>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693"/>
      </w:tblGrid>
      <w:tr w:rsidR="00231F07" w:rsidRPr="00231F07" w:rsidTr="00C16588">
        <w:trPr>
          <w:trHeight w:val="429"/>
        </w:trPr>
        <w:tc>
          <w:tcPr>
            <w:tcW w:w="6658" w:type="dxa"/>
            <w:shd w:val="clear" w:color="auto" w:fill="auto"/>
          </w:tcPr>
          <w:p w:rsidR="00231F07" w:rsidRPr="00231F07" w:rsidRDefault="00231F07" w:rsidP="00C16588">
            <w:pPr>
              <w:ind w:firstLine="709"/>
              <w:jc w:val="center"/>
              <w:rPr>
                <w:rFonts w:eastAsia="Calibri"/>
                <w:szCs w:val="28"/>
              </w:rPr>
            </w:pPr>
            <w:r w:rsidRPr="00231F07">
              <w:rPr>
                <w:rFonts w:eastAsia="Calibri"/>
                <w:szCs w:val="28"/>
              </w:rPr>
              <w:t>Вид сбора</w:t>
            </w:r>
          </w:p>
        </w:tc>
        <w:tc>
          <w:tcPr>
            <w:tcW w:w="2693" w:type="dxa"/>
            <w:shd w:val="clear" w:color="auto" w:fill="auto"/>
          </w:tcPr>
          <w:p w:rsidR="00231F07" w:rsidRPr="00231F07" w:rsidRDefault="00231F07" w:rsidP="00C16588">
            <w:pPr>
              <w:jc w:val="center"/>
              <w:rPr>
                <w:rFonts w:eastAsia="Calibri"/>
                <w:szCs w:val="28"/>
              </w:rPr>
            </w:pPr>
            <w:r w:rsidRPr="00231F07">
              <w:rPr>
                <w:rFonts w:eastAsia="Calibri"/>
                <w:szCs w:val="28"/>
              </w:rPr>
              <w:t>Размер сбора, расчетный уровень</w:t>
            </w:r>
          </w:p>
        </w:tc>
      </w:tr>
      <w:tr w:rsidR="00231F07" w:rsidRPr="00231F07" w:rsidTr="00C16588">
        <w:trPr>
          <w:trHeight w:val="279"/>
        </w:trPr>
        <w:tc>
          <w:tcPr>
            <w:tcW w:w="6658" w:type="dxa"/>
            <w:shd w:val="clear" w:color="auto" w:fill="auto"/>
          </w:tcPr>
          <w:p w:rsidR="00231F07" w:rsidRPr="00231F07" w:rsidRDefault="00231F07" w:rsidP="00C16588">
            <w:pPr>
              <w:jc w:val="both"/>
              <w:rPr>
                <w:rFonts w:eastAsia="Calibri"/>
                <w:szCs w:val="28"/>
              </w:rPr>
            </w:pPr>
            <w:r w:rsidRPr="00231F07">
              <w:rPr>
                <w:rFonts w:eastAsia="Calibri"/>
                <w:szCs w:val="28"/>
              </w:rPr>
              <w:t>Сбор за одноразовый проезд</w:t>
            </w:r>
          </w:p>
        </w:tc>
        <w:tc>
          <w:tcPr>
            <w:tcW w:w="2693" w:type="dxa"/>
            <w:shd w:val="clear" w:color="auto" w:fill="auto"/>
          </w:tcPr>
          <w:p w:rsidR="00231F07" w:rsidRPr="00231F07" w:rsidRDefault="00231F07" w:rsidP="00C16588">
            <w:pPr>
              <w:ind w:firstLine="709"/>
              <w:jc w:val="center"/>
              <w:rPr>
                <w:rFonts w:eastAsia="Calibri"/>
                <w:szCs w:val="28"/>
              </w:rPr>
            </w:pPr>
            <w:r w:rsidRPr="00231F07">
              <w:rPr>
                <w:rFonts w:eastAsia="Calibri"/>
                <w:szCs w:val="28"/>
              </w:rPr>
              <w:t>15</w:t>
            </w:r>
          </w:p>
        </w:tc>
      </w:tr>
      <w:tr w:rsidR="00231F07" w:rsidRPr="00231F07" w:rsidTr="00C16588">
        <w:trPr>
          <w:trHeight w:val="262"/>
        </w:trPr>
        <w:tc>
          <w:tcPr>
            <w:tcW w:w="6658" w:type="dxa"/>
            <w:shd w:val="clear" w:color="auto" w:fill="auto"/>
          </w:tcPr>
          <w:p w:rsidR="00231F07" w:rsidRPr="00231F07" w:rsidRDefault="00231F07" w:rsidP="00C16588">
            <w:pPr>
              <w:ind w:firstLine="22"/>
              <w:jc w:val="both"/>
              <w:rPr>
                <w:rFonts w:eastAsia="Calibri"/>
                <w:szCs w:val="28"/>
              </w:rPr>
            </w:pPr>
            <w:r w:rsidRPr="00231F07">
              <w:rPr>
                <w:rFonts w:eastAsia="Calibri"/>
                <w:szCs w:val="28"/>
              </w:rPr>
              <w:t>Сбор за постоянный проезд в течение 30 (тридцати) дней</w:t>
            </w:r>
          </w:p>
        </w:tc>
        <w:tc>
          <w:tcPr>
            <w:tcW w:w="2693" w:type="dxa"/>
            <w:shd w:val="clear" w:color="auto" w:fill="auto"/>
          </w:tcPr>
          <w:p w:rsidR="00231F07" w:rsidRPr="00231F07" w:rsidRDefault="00231F07" w:rsidP="00C16588">
            <w:pPr>
              <w:ind w:firstLine="709"/>
              <w:jc w:val="center"/>
              <w:rPr>
                <w:rFonts w:eastAsia="Calibri"/>
                <w:szCs w:val="28"/>
              </w:rPr>
            </w:pPr>
            <w:r w:rsidRPr="00231F07">
              <w:rPr>
                <w:rFonts w:eastAsia="Calibri"/>
                <w:szCs w:val="28"/>
              </w:rPr>
              <w:t>20</w:t>
            </w:r>
          </w:p>
        </w:tc>
      </w:tr>
      <w:tr w:rsidR="00231F07" w:rsidRPr="00231F07" w:rsidTr="00C16588">
        <w:trPr>
          <w:trHeight w:val="120"/>
        </w:trPr>
        <w:tc>
          <w:tcPr>
            <w:tcW w:w="6658" w:type="dxa"/>
            <w:shd w:val="clear" w:color="auto" w:fill="auto"/>
          </w:tcPr>
          <w:p w:rsidR="00231F07" w:rsidRPr="00231F07" w:rsidRDefault="00231F07" w:rsidP="00C16588">
            <w:pPr>
              <w:jc w:val="both"/>
              <w:rPr>
                <w:rFonts w:eastAsia="Calibri"/>
                <w:szCs w:val="28"/>
              </w:rPr>
            </w:pPr>
            <w:r w:rsidRPr="00231F07">
              <w:rPr>
                <w:rFonts w:eastAsia="Calibri"/>
                <w:szCs w:val="28"/>
              </w:rPr>
              <w:t>Сбор за постоянный проезд в течение 1 (одного) года</w:t>
            </w:r>
          </w:p>
        </w:tc>
        <w:tc>
          <w:tcPr>
            <w:tcW w:w="2693" w:type="dxa"/>
            <w:shd w:val="clear" w:color="auto" w:fill="auto"/>
          </w:tcPr>
          <w:p w:rsidR="00231F07" w:rsidRPr="00231F07" w:rsidRDefault="00231F07" w:rsidP="00C16588">
            <w:pPr>
              <w:ind w:firstLine="709"/>
              <w:jc w:val="center"/>
              <w:rPr>
                <w:rFonts w:eastAsia="Calibri"/>
                <w:szCs w:val="28"/>
              </w:rPr>
            </w:pPr>
            <w:r w:rsidRPr="00231F07">
              <w:rPr>
                <w:rFonts w:eastAsia="Calibri"/>
                <w:szCs w:val="28"/>
              </w:rPr>
              <w:t>150</w:t>
            </w:r>
          </w:p>
        </w:tc>
      </w:tr>
    </w:tbl>
    <w:p w:rsidR="00231F07" w:rsidRPr="00231F07" w:rsidRDefault="00231F07" w:rsidP="00231F07">
      <w:pPr>
        <w:pStyle w:val="a3"/>
        <w:ind w:firstLine="709"/>
        <w:jc w:val="both"/>
        <w:rPr>
          <w:rFonts w:ascii="Times New Roman" w:hAnsi="Times New Roman" w:cs="Times New Roman"/>
          <w:sz w:val="24"/>
          <w:szCs w:val="24"/>
        </w:rPr>
      </w:pP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Сбор за одноразовый проезд представляет собой сбор за однократный въезд с правом перемещения по территории Приднестровской Молдавской Республики транспортного средства, являющегося объектом сбора, и последующий его выезд с территории Приднестровской Молдавской Республики до истечения 1 (одного) месяца со дня въезда.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Сбор за постоянный проезд в течение установленного срока представляет собой сбор за многократный въезд с правом перемещения по территории Приднестровской Молдавской Республики транспортного средства, являющегося объектом сбора, и последующий его выезд с территории Приднестровской Молдавской Республики в течение установленного срока.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Порядок уплаты сборов за проезд по автомобильным дорогам Приднестровской Молдавской Республики транспортных средств полной массой более 18 (восемнадцати) тонн, не зарегистрированных в Приднестровской Молдавской Республике, и применение перечня (видов) сборов устанавливаются Правительством Приднестровской Молдавской Республики.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 xml:space="preserve">4. Уплата сбора производится плательщиком: </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а) при въезде на территорию Приднестровской Молдавской Республики транспортного средства, являющегося объектом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б) до фактического въезда на территорию Приднестровской Молдавской Республики транспортного средства, являющегося объектом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до истечения установленного срока (30 (тридцати) дней или 1 (одного) года) сбора за постоянный проезд без фактического выезда с территории Приднестровской Молдавской Республики транспортного средства, являющегося объектом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При уплате сбора в порядке, установленном подпунктом б) части первой пункта 4 настоящей статьи, течение установленного срока сбора начинается со дня фактического въезда на территорию Приднестровской Молдавской Республики транспортного средства, являющегося объектом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При уплате сбора в порядке, установленном подпунктом в) части первой пункта 4 настоящей статьи, течение установленного срока сбора начинается со дня уплаты сбора на новый срок.</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5. Плательщик сбора за одноразовый проезд обязан вывезти транспортное средство, являющееся объектом сбора, с территории Приднестровской Молдавской Республики до истечения 1 (одного) месяца с даты въезда.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случае если транспортное средство, в отношении которого был уплачен сбор за одноразовый проезд, не вывезено с территории Приднестровской Молдавской Республики до истечения 1 (одного) месяца с даты въезда, плательщик сбора при выезде с территории Приднестровской Молдавской Республики транспортного средства, являющегося объектом сбора, обязан дополнительно уплатить сбор в размере 45 (сорока пяти) расчетных уровней.</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 xml:space="preserve">Плательщик сбора за постоянный проезд обязан вывезти транспортное средство, являющееся объектом сбора, с территории Приднестровской Молдавской Республики до истечения установленного срока (30 (тридцати) дней или 1 (одного) года) либо уплатить сбор за </w:t>
      </w:r>
      <w:r w:rsidRPr="00231F07">
        <w:rPr>
          <w:rFonts w:ascii="Times New Roman" w:hAnsi="Times New Roman" w:cs="Times New Roman"/>
          <w:sz w:val="24"/>
          <w:szCs w:val="24"/>
        </w:rPr>
        <w:lastRenderedPageBreak/>
        <w:t>одноразовый или постоянный проезд в порядке, установленном подпунктом б) части первой пункта 4 настоящей статьи, либо уплатить сбор за постоянный проезд в порядке, установленном подпунктом в) части первой пункта 4 настоящей статьи.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случае если транспортное средство, в отношении которого был уплачен сбор за постоянный проезд, не вывезено с территории Приднестровской Молдавской Республики до истечения установленного срока (30 (тридцати) дней или 1 (одного) года) либо до истечения установленного срока сбора за постоянный проезд не уплачен сбор за одноразовый или постоянный проезд в порядке, установленном подпунктом б) части первой пункта 4 настоящей статьи, либо до истечения установленного срока сбора за постоянный проезд не уплачен сбор за постоянный проезд в порядке, установленном подпунктом в) части первой пункта 4 настоящей статьи, плательщик сбора обязан дополнительно уплатить сбор в размере 150 (ста пятидесяти) расчетных уровней.</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При уплате сбора за одноразовый проезд в порядке, установленном подпунктом б) части первой пункта 4 настоящей статьи, либо сбора за постоянный проезд в порядке, установленном подпунктом б) части первой пункта 4 настоящей статьи, в отношении транспортного средства, являющегося объектом сбора за постоянный проезд, ранее возникшая обязанность плательщика сбора за постоянный проезд по вывозу транспортного средства считается исполненной, а срок сбора за постоянный проезд истекшим – со дня фактического въезда на территорию Приднестровской Молдавской Республики транспортного средства, являющегося объектом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При уплате сбора за постоянный проезд в порядке, установленном подпунктом в) части первой пункта 4 настоящей статьи, со дня уплаты сбора на новый срок ранее возникшая обязанность по вывозу транспортного средства, являющегося объектом сбора, с территории Приднестровской Молдавской Республики считается исполненной, а срок ранее уплаченного сбора за постоянный проезд считается истекшим.</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Выезд транспортного средства, являющегося объектом сбора, с территории Приднестровской Молдавской Республики в случаях, указанных в частях второй и четвертой настоящего пункта, разрешается только после исполнения плательщиком обязанности по дополнительной уплате соответствующего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6. От уплаты сбора освобождаются:</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а) юридические и физические лица, в том числе иностранные, транспортные средства которых перемещают товары, помещенные под таможенную процедуру таможенного транзита;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б) транспортные средства, выполняющие международные автомобильные перевозки пассажиров, имеющие лицензию на данный вид деятельности в соответствии с действующим законодательством Приднестровской Молдавской Республики или разрешение на осуществление регулярных или нерегулярных (заказных) перевозок, выданное исполнительным органом государственной власти, к ведению которого отнесены вопросы управления транспортом.</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7. Контроль за уплатой сборов, предусмотренных настоящей статьей, осуществляется таможенными органами Приднестровской Молдавской Республики с выдачей документа, подтверждающего уплату сбора, по форме, утвержденной исполнительным органом государственной власти, осуществляющим непосредственное руководство таможенным делом.</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Примечание.</w:t>
      </w:r>
    </w:p>
    <w:p w:rsidR="00F82068"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Для целей взимания сбора под транспортным средством, не зарегистрированным в Приднестровской Молдавской Республике, также понимается транспортное средство, состоящее на временном учете в органах межрайонного регистрационно-экзаменационного отделения Государственной автомобильной инспекции Министерства внутренних дел Приднестровской Молдавской Республики.</w:t>
      </w:r>
    </w:p>
    <w:p w:rsidR="00231F07" w:rsidRDefault="00231F07" w:rsidP="00231F07">
      <w:pPr>
        <w:pStyle w:val="a3"/>
        <w:ind w:firstLine="709"/>
        <w:jc w:val="both"/>
        <w:rPr>
          <w:rFonts w:ascii="Times New Roman" w:hAnsi="Times New Roman" w:cs="Times New Roman"/>
          <w:sz w:val="24"/>
          <w:szCs w:val="24"/>
        </w:rPr>
      </w:pPr>
    </w:p>
    <w:p w:rsidR="00231F07" w:rsidRPr="00231F07" w:rsidRDefault="00231F07" w:rsidP="00231F07">
      <w:pPr>
        <w:pStyle w:val="a3"/>
        <w:ind w:firstLine="709"/>
        <w:jc w:val="center"/>
        <w:rPr>
          <w:rFonts w:ascii="Times New Roman" w:hAnsi="Times New Roman" w:cs="Times New Roman"/>
          <w:b/>
          <w:sz w:val="24"/>
          <w:szCs w:val="24"/>
        </w:rPr>
      </w:pPr>
      <w:r w:rsidRPr="00231F07">
        <w:rPr>
          <w:rFonts w:ascii="Times New Roman" w:hAnsi="Times New Roman" w:cs="Times New Roman"/>
          <w:b/>
          <w:sz w:val="24"/>
          <w:szCs w:val="24"/>
        </w:rPr>
        <w:t>Статья 5-2. Сбор за проезд по автомобильным дорогам</w:t>
      </w:r>
    </w:p>
    <w:p w:rsidR="00231F07" w:rsidRPr="00231F07" w:rsidRDefault="00231F07" w:rsidP="00231F07">
      <w:pPr>
        <w:pStyle w:val="a3"/>
        <w:ind w:firstLine="709"/>
        <w:jc w:val="center"/>
        <w:rPr>
          <w:rFonts w:ascii="Times New Roman" w:hAnsi="Times New Roman" w:cs="Times New Roman"/>
          <w:b/>
          <w:sz w:val="24"/>
          <w:szCs w:val="24"/>
        </w:rPr>
      </w:pPr>
      <w:r w:rsidRPr="00231F07">
        <w:rPr>
          <w:rFonts w:ascii="Times New Roman" w:hAnsi="Times New Roman" w:cs="Times New Roman"/>
          <w:b/>
          <w:sz w:val="24"/>
          <w:szCs w:val="24"/>
        </w:rPr>
        <w:t>Приднестровской Молдавской Республики транспортных</w:t>
      </w:r>
      <w:r>
        <w:rPr>
          <w:rFonts w:ascii="Times New Roman" w:hAnsi="Times New Roman" w:cs="Times New Roman"/>
          <w:b/>
          <w:sz w:val="24"/>
          <w:szCs w:val="24"/>
        </w:rPr>
        <w:t xml:space="preserve"> </w:t>
      </w:r>
      <w:r w:rsidRPr="00231F07">
        <w:rPr>
          <w:rFonts w:ascii="Times New Roman" w:hAnsi="Times New Roman" w:cs="Times New Roman"/>
          <w:b/>
          <w:sz w:val="24"/>
          <w:szCs w:val="24"/>
        </w:rPr>
        <w:t>средств, не зарегистрированных в Приднестровской</w:t>
      </w:r>
      <w:r>
        <w:rPr>
          <w:rFonts w:ascii="Times New Roman" w:hAnsi="Times New Roman" w:cs="Times New Roman"/>
          <w:b/>
          <w:sz w:val="24"/>
          <w:szCs w:val="24"/>
        </w:rPr>
        <w:t xml:space="preserve"> </w:t>
      </w:r>
      <w:r w:rsidRPr="00231F07">
        <w:rPr>
          <w:rFonts w:ascii="Times New Roman" w:hAnsi="Times New Roman" w:cs="Times New Roman"/>
          <w:b/>
          <w:sz w:val="24"/>
          <w:szCs w:val="24"/>
        </w:rPr>
        <w:t>Молдавской Республике, перевозящих некоторые</w:t>
      </w:r>
    </w:p>
    <w:p w:rsidR="00231F07" w:rsidRPr="00231F07" w:rsidRDefault="00231F07" w:rsidP="00231F07">
      <w:pPr>
        <w:pStyle w:val="a3"/>
        <w:ind w:firstLine="709"/>
        <w:jc w:val="center"/>
        <w:rPr>
          <w:rFonts w:ascii="Times New Roman" w:hAnsi="Times New Roman" w:cs="Times New Roman"/>
          <w:b/>
          <w:sz w:val="24"/>
          <w:szCs w:val="24"/>
        </w:rPr>
      </w:pPr>
      <w:r w:rsidRPr="00231F07">
        <w:rPr>
          <w:rFonts w:ascii="Times New Roman" w:hAnsi="Times New Roman" w:cs="Times New Roman"/>
          <w:b/>
          <w:sz w:val="24"/>
          <w:szCs w:val="24"/>
        </w:rPr>
        <w:t>категории товаров</w:t>
      </w:r>
    </w:p>
    <w:p w:rsidR="00231F07" w:rsidRPr="00231F07" w:rsidRDefault="00231F07" w:rsidP="00231F07">
      <w:pPr>
        <w:pStyle w:val="a3"/>
        <w:ind w:firstLine="709"/>
        <w:jc w:val="center"/>
        <w:rPr>
          <w:rFonts w:ascii="Times New Roman" w:hAnsi="Times New Roman" w:cs="Times New Roman"/>
          <w:b/>
          <w:sz w:val="24"/>
          <w:szCs w:val="24"/>
        </w:rPr>
      </w:pPr>
    </w:p>
    <w:p w:rsidR="00231F07" w:rsidRPr="00231F07" w:rsidRDefault="00231F07" w:rsidP="00231F07">
      <w:pPr>
        <w:pStyle w:val="a3"/>
        <w:ind w:firstLine="709"/>
        <w:jc w:val="both"/>
        <w:rPr>
          <w:rFonts w:ascii="Times New Roman" w:hAnsi="Times New Roman" w:cs="Times New Roman"/>
          <w:sz w:val="24"/>
          <w:szCs w:val="24"/>
        </w:rPr>
      </w:pP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lastRenderedPageBreak/>
        <w:t xml:space="preserve">1. Плательщиками сбора за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перевозящих некоторые категории товаров (далее по тексту настоящей </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статьи – сбор), являются физические лица, в том числе иностранные граждане и лица без гражданства, а также юридические лица, использующие автомобильные дороги Приднестровской Молдавской Республики для передвижения по ним транспортных средств, являющихся объектом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случае перемещения транспортных средств, являющихся объектом сбора и следующих в адрес хозяйствующих субъектов Приднестровской Молдавской Республики, плательщиками сбора могут выступать хозяйствующие субъекты Приднестровской Молдавской Республики, в адрес которых следуют транспортные средства.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Порядок уплаты сбора хозяйствующими субъектами Приднестровской Молдавской Республики, в адрес которых следуют транспортные средства, утверждается совместным нормативным правовым актом исполнительного органа государственной власти, осуществляющего непосредственное руководство таможенным делом, и исполнительного органа государственной власти, в ведении которого находятся вопросы экономической политики.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2. Объектом сбора являются транспортные средства, в том числе и автопоезда, предназначенные для перевозки грузов, не зарегистрированные в Приднестровской Молдавской Республике, въезжающие на территорию Приднестровской Молдавской Республики и перевозящие по ее автомобильным дорогам некоторые категории товаров, перечень которых устанавливается правовым актом Правительства Приднестровской Молдавской Республики, полная масса которых (каждого в отдельности либо в составе автопоезда) превышает 18 тонн.</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3. Сбор представляет собой плату за однократный въезд с правом перемещения по территории Приднестровской Молдавской Республики транспортного средства, являющегося объектом сбора, и последующий его выезд с территории Приднестровской Молдавской Республики до истечения 1 (одного) месяца со дня въезда.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Ставка сбора составляет 15 (пятнадцать) расчетных уровней.</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Уплата сбора производится плательщиком при въезде на территорию Приднестровской Молдавской Республики транспортного средства, являющегося объектом сбора, либо до фактического въезда на территорию Приднестровской Молдавской Республики транспортного средства, являющегося объектом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При уплате сбора до фактического въезда на территорию Приднестровской Молдавской Республики транспортного средства, являющегося объектом сбора, течение установленного срока сбора начинается со дня фактического въезда на территорию Приднестровской Молдавской Республики транспортного средства, являющегося объектом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Плательщик сбора обязан вывезти транспортное средство, являющееся объектом сбора, с территории Приднестровской Молдавской Республики до истечения 1 (одного) месяца со дня въезда.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случае если транспортное средство, в отношении которого был уплачен сбор, не вывезено с территории Приднестровской Молдавской Республики до истечения 1 (одного) месяца с даты въезда, плательщик сбора при выезде с территории Приднестровской Молдавской Республики транспортного средства, являющегося объектом сбора, обязан дополнительно уплатить сбор в размере 45 (сорока пяти) расчетных уровней.</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Выезд транспортного средства, являющегося объектом сбора, с территории Приднестровской Молдавской Республики в случае, указанном в части шестой настоящего пункта, разрешается только после исполнения плательщиком обязанности по дополнительной уплате сбора в размере 45 (сорока пяти) расчетных уровней.</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4. Уплата сбора в бюджет осуществляется в составе единого таможенного платежа.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От уплаты сбора освобождаются юридические и физические лица, в том числе иностранные, транспортные средства которых перемещают товары, помещенные под таможенную процедуру таможенного транзита.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 xml:space="preserve">От уплаты сбора, предусмотренного частью шестой пункта 3 настоящей статьи, освобождаются плательщики сбора в случаях, когда причинами невывоза транспортного средства, </w:t>
      </w:r>
      <w:r w:rsidRPr="00231F07">
        <w:rPr>
          <w:rFonts w:ascii="Times New Roman" w:hAnsi="Times New Roman" w:cs="Times New Roman"/>
          <w:sz w:val="24"/>
          <w:szCs w:val="24"/>
        </w:rPr>
        <w:lastRenderedPageBreak/>
        <w:t>являющегося объектом сбора, с территории Приднестровской Молдавской Республики являются возникшие до истечения установленного срока сбора следующие обстоятельства: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а) наличие неисправностей и (или) условий, при которых запрещается эксплуатация транспортного средства, – при предоставлении акта исполнительного органа государственной власти, в ведении которого находятся вопросы обеспечения безопасности дорожного движения, с указанием предельного срока невозможности эксплуатации транспортного средства;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б) временная утрата трудоспособности плательщиком сбора – физическим лицом при предоставлении подтверждающих данное обстоятельство документов.</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5. Порядок уплаты сбора за проезд по автомобильным дорогам Приднестровской Молдавской Республики транспортных средств, являющихся объектом сбора, устанавливается Правительством Приднестровской Молдавской Республики.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Правительство Приднестровской Молдавской Республики вправе регулировать правовым актом размеры сборов в пределах 50 процентов от установленного частью второй пункта 3 настоящей статьи размера сбора в течение 1 (одного) года в отношении транспортных средств, являющихся объектами сбора, а также определять порядок и условия их применения.</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6. Контроль за уплатой сборов, предусмотренных настоящей статьей, осуществляется таможенными органами Приднестровской Молдавской Республики с выдачей документа, подтверждающего уплату сбора по форме, утвержденной исполнительным органом государственной власти, осуществляющим непосредственное руководство таможенным делом.</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Примечание.</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Для целей реализации настоящей статьи: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а) под транспортным средством, не зарегистрированным в Приднестровской Молдавской Республике, также понимается транспортное средство, состоящее на временном учете в органах межрайонного регистрационно-экзаменационного отделения Государственной автомобильной инспекции Министерства внутренних дел Приднестровской Молдавской Республики;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б) под автопоездом понимается тягач, не зарегистрированный в Приднестровской Молдавской Республике или состоящий на временном учете в органах межрайонного регистрационно-экзаменационного отделения Государственной автомобильной инспекции Министерства внутренних дел Приднестровской Молдавской Республики, буксирующий прицеп и (или) полуприцеп, вне зависимости от страны, в которой прицеп и (или) полуприцеп состоят на учете.</w:t>
      </w:r>
    </w:p>
    <w:p w:rsidR="00231F07" w:rsidRPr="002D2982" w:rsidRDefault="00231F07" w:rsidP="00231F07">
      <w:pPr>
        <w:pStyle w:val="a3"/>
        <w:ind w:firstLine="709"/>
        <w:jc w:val="both"/>
        <w:rPr>
          <w:rFonts w:ascii="Times New Roman" w:hAnsi="Times New Roman" w:cs="Times New Roman"/>
          <w:sz w:val="24"/>
          <w:szCs w:val="24"/>
        </w:rPr>
      </w:pPr>
    </w:p>
    <w:p w:rsidR="008057DD" w:rsidRPr="002D2982" w:rsidRDefault="008057DD" w:rsidP="002D2982">
      <w:pPr>
        <w:pStyle w:val="a3"/>
        <w:ind w:firstLine="709"/>
        <w:jc w:val="center"/>
        <w:outlineLvl w:val="0"/>
        <w:rPr>
          <w:rFonts w:ascii="Times New Roman" w:hAnsi="Times New Roman" w:cs="Times New Roman"/>
          <w:b/>
          <w:sz w:val="24"/>
          <w:szCs w:val="24"/>
        </w:rPr>
      </w:pPr>
      <w:r w:rsidRPr="002D2982">
        <w:rPr>
          <w:rFonts w:ascii="Times New Roman" w:hAnsi="Times New Roman" w:cs="Times New Roman"/>
          <w:b/>
          <w:sz w:val="24"/>
          <w:szCs w:val="24"/>
        </w:rPr>
        <w:t>Статья 6. Учет налоговых платежей</w:t>
      </w:r>
    </w:p>
    <w:p w:rsidR="008057DD" w:rsidRPr="002D2982" w:rsidRDefault="008057DD" w:rsidP="002D2982">
      <w:pPr>
        <w:pStyle w:val="a3"/>
        <w:ind w:firstLine="709"/>
        <w:jc w:val="both"/>
        <w:rPr>
          <w:rFonts w:ascii="Times New Roman" w:hAnsi="Times New Roman" w:cs="Times New Roman"/>
          <w:sz w:val="24"/>
          <w:szCs w:val="24"/>
        </w:rPr>
      </w:pPr>
    </w:p>
    <w:p w:rsidR="002D2982" w:rsidRDefault="00231F07" w:rsidP="002D2982">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Сумма налоговых платежей, указанных в статье 5 настоящего Закона, включается организациями в состав затрат по производству и реализации продукции (работ, услуг) и издержек обращения по реализации товаров.</w:t>
      </w:r>
    </w:p>
    <w:p w:rsidR="00231F07" w:rsidRPr="002D2982" w:rsidRDefault="00231F07" w:rsidP="002D2982">
      <w:pPr>
        <w:pStyle w:val="a3"/>
        <w:ind w:firstLine="709"/>
        <w:jc w:val="both"/>
        <w:rPr>
          <w:rFonts w:ascii="Times New Roman" w:hAnsi="Times New Roman" w:cs="Times New Roman"/>
          <w:strike/>
          <w:sz w:val="24"/>
          <w:szCs w:val="24"/>
        </w:rPr>
      </w:pPr>
    </w:p>
    <w:p w:rsidR="00445EA1" w:rsidRDefault="00445EA1" w:rsidP="002D2982">
      <w:pPr>
        <w:pStyle w:val="a3"/>
        <w:ind w:firstLine="709"/>
        <w:jc w:val="center"/>
        <w:rPr>
          <w:rFonts w:ascii="Times New Roman" w:hAnsi="Times New Roman" w:cs="Times New Roman"/>
          <w:b/>
          <w:sz w:val="24"/>
          <w:szCs w:val="24"/>
        </w:rPr>
      </w:pPr>
      <w:r w:rsidRPr="002D2982">
        <w:rPr>
          <w:rFonts w:ascii="Times New Roman" w:hAnsi="Times New Roman" w:cs="Times New Roman"/>
          <w:b/>
          <w:sz w:val="24"/>
          <w:szCs w:val="24"/>
        </w:rPr>
        <w:t>Статья 7. Сбор за въезд и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w:t>
      </w:r>
    </w:p>
    <w:p w:rsidR="002D2982" w:rsidRPr="002D2982" w:rsidRDefault="002D2982" w:rsidP="002D2982">
      <w:pPr>
        <w:pStyle w:val="a3"/>
        <w:ind w:firstLine="709"/>
        <w:jc w:val="center"/>
        <w:rPr>
          <w:rFonts w:ascii="Times New Roman" w:hAnsi="Times New Roman" w:cs="Times New Roman"/>
          <w:b/>
          <w:sz w:val="24"/>
          <w:szCs w:val="24"/>
        </w:rPr>
      </w:pP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1. Плательщиками сбора за въезд и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(далее по тексту настоящей статьи – сбор), являются физические лица и юридические лица – владельцы или пользователи транспортных средств, являющихся объектом сбора, за исключением случая, установленного частью второй настоящего пункта.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случае перемещения транспортных средств, являющихся объектом сбора, помещаемых (помещенных) под таможенную процедуру временного ввоза в особенном порядке, установленном статьей 94 Таможенного кодекса Приднестровской Молдавской Республики, плательщиками сбора являются физические лица – владельцы или пользователи таких транспортных средств.</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 xml:space="preserve">В случае перемещения транспортных средств, являющихся объектом сбора и следующих в адрес хозяйствующих субъектов Приднестровской Молдавской Республики, плательщиками </w:t>
      </w:r>
      <w:r w:rsidRPr="00231F07">
        <w:rPr>
          <w:rFonts w:ascii="Times New Roman" w:hAnsi="Times New Roman" w:cs="Times New Roman"/>
          <w:sz w:val="24"/>
          <w:szCs w:val="24"/>
        </w:rPr>
        <w:lastRenderedPageBreak/>
        <w:t>сбора могут выступать хозяйствующие субъекты Приднестровской Молдавской Республики, в адрес которых следуют транспортные средства, за исключением случаев перемещения физическими лицами транспортных средств, указанных в части второй настоящего пункта.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 xml:space="preserve">2. Объектом сбора являются транспортные средства, не зарегистрированные в Приднестровской Молдавской Республике, въезжающие на территорию Приднестровской Молдавской Республики и передвигающиеся по ее автомобильным дорогам. </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3. Сбор взимается за въезд и проезд (в том числе транзитный) по территории Приднестровской Молдавской Республики.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4. Уплата сбора в бюджет, в том числе в отношении транспортных средств, являющихся объектом сбора, помещаемых (помещенных) под таможенную процедуру временного ввоза с освобождением от уплаты сбора-виньетки в особенном порядке, установленном статьей 94 Таможенного кодекса Приднестровской Молдавской Республики, осуществляется в составе единого таможенного платежа при въезде транспортных средств на территорию Приднестровской Молдавской Республики по ставкам согласно Приложению № 2 к настоящему Закону, за исключением случая, установленного частью третьей настоящего пункта.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случае неуплаты указанного сбора при въезде владельцы или пользователи транспортных средств обязаны уплатить этот сбор при выезде с территории Приднестровской Молдавской Республики.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Физические лица – владельцы или пользователи транспортных средств, являющихся объектом сбора, помещаемых (помещенных) под таможенную процедуру временного ввоза с уплатой сбора-виньетки в особенном порядке, установленном статьей 94 Таможенного кодекса Приднестровской Молдавской Республики, уплачивают сбор в составе сбора-виньетки в порядке и по ставкам, установленным Таможенным кодексом Приднестровской Молдавской Республики.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5. От уплаты сбора освобождаются:</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а) транспортные средства, выполняющие международные автомобильные перевозки грузов и пассажиров в соответствии с разрешениями, выданными Приднестровской Молдавской Республикой и иностранными государствами на проезд по территории Приднестровской Молдавской Республики, предусматривающими освобождение от уплаты сбора;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б) транспортные средства, зарегистрированные в странах Содружества Независимых Государств, не взимающих подобный сбор с транспортных средств, зарегистрированных на территории Приднестровской Молдавской Республики;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транспортные средства, пользователями которых выступают сотрудники иностранных дипломатических и приравненных к ним представительств.</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Информация о типах разрешений, используемых для осуществления международных перевозок по территории республики без оплаты сбора, и порядке их представления, а также информация о странах Содружества Независимых Государств, не взимающих подобный сбор с транспортных средств, зарегистрированных на территории Приднестровской Молдавской Республики, предоставляется исполнительным органом государственной власти, в ведении которого находятся вопросы экономической политики, путем размещения соответствующей информации в совместном нормативном правовом акте указанного органа и органа государственной власти, осуществляющего непосредственное руководство таможенным делом.</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Правительство Приднестровской Молдавской Республики вправе в отношении транспортных средств, являющихся объектом сбора и перевозящих некоторые категории товаров, установить полное либо частичное освобождение от уплаты сбора, а также определять порядок и условия его применения.</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6. В случае введения иностранными государствами или их административно-территориальными единицами дополнительных сборов за проезд по автомобильным дорогам устанавливаются аналогичные сборы с их транспортных средств при въезде на территорию Приднестровской Молдавской Республики.</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 xml:space="preserve">7. При перевозке опасных грузов размер сбора увеличивается на </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200 процентов. Перечень опасных грузов устанавливается нормативными правовыми актами Президента Приднестровской Молдавской Республики.</w:t>
      </w:r>
    </w:p>
    <w:p w:rsidR="00445EA1"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lastRenderedPageBreak/>
        <w:t>8. Контроль за уплатой сборов, предусмотренных настоящей статьей, осуществляется таможенными органами Приднестровской Молдавской Республики с выдачей документа, подтверждающего уплату сбора, по форме, утвержденной исполнительным органом государственной власти, осуществляющим непосредственное руководство таможенным делом.</w:t>
      </w:r>
    </w:p>
    <w:p w:rsidR="00231F07" w:rsidRPr="002D2982" w:rsidRDefault="00231F07" w:rsidP="00231F07">
      <w:pPr>
        <w:pStyle w:val="a3"/>
        <w:ind w:firstLine="709"/>
        <w:jc w:val="both"/>
        <w:rPr>
          <w:rFonts w:ascii="Times New Roman" w:hAnsi="Times New Roman" w:cs="Times New Roman"/>
          <w:strike/>
          <w:sz w:val="24"/>
          <w:szCs w:val="24"/>
        </w:rPr>
      </w:pPr>
    </w:p>
    <w:p w:rsidR="008057DD" w:rsidRPr="002D2982" w:rsidRDefault="008057DD" w:rsidP="002D2982">
      <w:pPr>
        <w:pStyle w:val="a3"/>
        <w:ind w:firstLine="709"/>
        <w:jc w:val="center"/>
        <w:outlineLvl w:val="0"/>
        <w:rPr>
          <w:rFonts w:ascii="Times New Roman" w:hAnsi="Times New Roman" w:cs="Times New Roman"/>
          <w:b/>
          <w:sz w:val="24"/>
          <w:szCs w:val="24"/>
        </w:rPr>
      </w:pPr>
      <w:r w:rsidRPr="002D2982">
        <w:rPr>
          <w:rFonts w:ascii="Times New Roman" w:hAnsi="Times New Roman" w:cs="Times New Roman"/>
          <w:b/>
          <w:sz w:val="24"/>
          <w:szCs w:val="24"/>
        </w:rPr>
        <w:t>Статья 8. Ответственность плательщиков</w:t>
      </w:r>
    </w:p>
    <w:p w:rsidR="008057DD" w:rsidRPr="002D2982" w:rsidRDefault="008057DD" w:rsidP="002D2982">
      <w:pPr>
        <w:pStyle w:val="a3"/>
        <w:ind w:firstLine="709"/>
        <w:jc w:val="both"/>
        <w:rPr>
          <w:rFonts w:ascii="Times New Roman" w:hAnsi="Times New Roman" w:cs="Times New Roman"/>
          <w:sz w:val="24"/>
          <w:szCs w:val="24"/>
        </w:rPr>
      </w:pP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1. Ответственность за правильность исчисления и своевременность уплаты в бюджет налогов и сборов, составляющих Дорожный фонд Приднестровской Молдавской Республики, возлагается на плательщиков.</w:t>
      </w:r>
    </w:p>
    <w:p w:rsidR="008057DD"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2. Порядок и сроки предоставления налоговых расчетов в налоговые органы устанавливается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w:t>
      </w:r>
    </w:p>
    <w:p w:rsidR="00231F07" w:rsidRPr="002D2982" w:rsidRDefault="00231F07" w:rsidP="00231F07">
      <w:pPr>
        <w:pStyle w:val="a3"/>
        <w:ind w:firstLine="709"/>
        <w:jc w:val="both"/>
        <w:rPr>
          <w:rFonts w:ascii="Times New Roman" w:hAnsi="Times New Roman" w:cs="Times New Roman"/>
          <w:sz w:val="24"/>
          <w:szCs w:val="24"/>
        </w:rPr>
      </w:pPr>
    </w:p>
    <w:p w:rsidR="008057DD" w:rsidRPr="002D2982" w:rsidRDefault="008057DD" w:rsidP="002D2982">
      <w:pPr>
        <w:pStyle w:val="a3"/>
        <w:ind w:firstLine="709"/>
        <w:jc w:val="center"/>
        <w:outlineLvl w:val="0"/>
        <w:rPr>
          <w:rFonts w:ascii="Times New Roman" w:hAnsi="Times New Roman" w:cs="Times New Roman"/>
          <w:b/>
          <w:sz w:val="24"/>
          <w:szCs w:val="24"/>
        </w:rPr>
      </w:pPr>
      <w:r w:rsidRPr="002D2982">
        <w:rPr>
          <w:rFonts w:ascii="Times New Roman" w:hAnsi="Times New Roman" w:cs="Times New Roman"/>
          <w:b/>
          <w:sz w:val="24"/>
          <w:szCs w:val="24"/>
        </w:rPr>
        <w:t>Статья 9. Международные договоры</w:t>
      </w:r>
    </w:p>
    <w:p w:rsidR="008057DD" w:rsidRPr="002D2982" w:rsidRDefault="008057DD" w:rsidP="002D2982">
      <w:pPr>
        <w:pStyle w:val="a3"/>
        <w:ind w:firstLine="709"/>
        <w:jc w:val="both"/>
        <w:rPr>
          <w:rFonts w:ascii="Times New Roman" w:hAnsi="Times New Roman" w:cs="Times New Roman"/>
          <w:sz w:val="24"/>
          <w:szCs w:val="24"/>
        </w:rPr>
      </w:pPr>
    </w:p>
    <w:p w:rsidR="00437966" w:rsidRPr="002D2982" w:rsidRDefault="008057DD" w:rsidP="00186209">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t>Если международным договором Приднестровской Молдавской Республики установлены иные нормы, чем предусмотренные настоящим Законом, то применяются нормы международного договора.</w:t>
      </w:r>
    </w:p>
    <w:p w:rsidR="008057DD" w:rsidRPr="002D2982" w:rsidRDefault="008057DD" w:rsidP="002D2982">
      <w:pPr>
        <w:autoSpaceDE w:val="0"/>
        <w:autoSpaceDN w:val="0"/>
        <w:adjustRightInd w:val="0"/>
        <w:ind w:firstLine="709"/>
        <w:jc w:val="both"/>
      </w:pPr>
    </w:p>
    <w:p w:rsidR="008057DD" w:rsidRPr="002D2982" w:rsidRDefault="008057DD" w:rsidP="002D2982">
      <w:pPr>
        <w:autoSpaceDE w:val="0"/>
        <w:autoSpaceDN w:val="0"/>
        <w:adjustRightInd w:val="0"/>
        <w:ind w:firstLine="709"/>
        <w:jc w:val="center"/>
        <w:outlineLvl w:val="0"/>
        <w:rPr>
          <w:b/>
        </w:rPr>
      </w:pPr>
      <w:r w:rsidRPr="002D2982">
        <w:rPr>
          <w:b/>
        </w:rPr>
        <w:t>"Статья 9-1. Заключительные положения</w:t>
      </w:r>
    </w:p>
    <w:p w:rsidR="008057DD" w:rsidRPr="002D2982" w:rsidRDefault="008057DD" w:rsidP="002D2982">
      <w:pPr>
        <w:autoSpaceDE w:val="0"/>
        <w:autoSpaceDN w:val="0"/>
        <w:adjustRightInd w:val="0"/>
        <w:ind w:firstLine="709"/>
        <w:jc w:val="both"/>
      </w:pPr>
    </w:p>
    <w:p w:rsidR="00437966" w:rsidRPr="002D2982" w:rsidRDefault="008057DD" w:rsidP="002D2982">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t>С 1 января 2009 года расчетный уровень, предусмотренный статьей 4-1 настоящего Закона, устанавливается в размере 10 (десяти) рублей Приднестровской Молдавской Республики".</w:t>
      </w:r>
    </w:p>
    <w:p w:rsidR="00E64A86" w:rsidRPr="002D2982" w:rsidRDefault="00E64A86" w:rsidP="00186209">
      <w:pPr>
        <w:pStyle w:val="a3"/>
        <w:jc w:val="both"/>
        <w:rPr>
          <w:rFonts w:ascii="Times New Roman" w:hAnsi="Times New Roman" w:cs="Times New Roman"/>
          <w:sz w:val="24"/>
          <w:szCs w:val="24"/>
        </w:rPr>
      </w:pPr>
    </w:p>
    <w:p w:rsidR="00E64A86" w:rsidRPr="002D2982" w:rsidRDefault="00E64A86" w:rsidP="002D2982">
      <w:pPr>
        <w:pStyle w:val="aa"/>
        <w:spacing w:before="0" w:beforeAutospacing="0" w:after="0" w:afterAutospacing="0"/>
        <w:ind w:firstLine="709"/>
        <w:jc w:val="center"/>
        <w:rPr>
          <w:b/>
        </w:rPr>
      </w:pPr>
      <w:r w:rsidRPr="002D2982">
        <w:rPr>
          <w:b/>
        </w:rPr>
        <w:t>Статья 9-2. Переходные положения</w:t>
      </w:r>
    </w:p>
    <w:p w:rsidR="00E64A86" w:rsidRPr="002D2982" w:rsidRDefault="00E64A86" w:rsidP="002D2982">
      <w:pPr>
        <w:pStyle w:val="aa"/>
        <w:spacing w:before="0" w:beforeAutospacing="0" w:after="0" w:afterAutospacing="0"/>
        <w:ind w:firstLine="709"/>
        <w:jc w:val="both"/>
      </w:pPr>
      <w:r w:rsidRPr="002D2982">
        <w:t> </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1. Со дня вступления в силу настоящего Закона приостановить действие Закона Приднестровской Молдавской Республики от 31 октября 2006 года № 111-З-IV «Об утверждении Государственной целевой программы развития дорожной отрасли по модернизации и восстановлению автомобильных дорог общего пользования Приднестровской Молдавской Республики на период 2006–2010 гг., финансируемой за счет средств Республиканского дорожного фонда» (САЗ 06-45) до дня вступления в силу Закона Приднестровской Молдавской Республики «Об отмене Закона Приднестровской Молдавской Республики «Об утверждении Государственной целевой программы развития дорожной отрасли по модернизации и восстановлению автомобильных дорог общего пользования Приднестровской Молдавской Республики на период 2006–2010 гг., финансируемой за счет средств Республиканского дорожного фонда».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2. Организациям, которые ранее воспользовались льготой по налогу с владельцев транспортных средств в связи с нахождением транспортных средств на консервации в соответствии с порядком, действовавшим до 1 января 2017 года, необходимо:</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а) в срок до 1 января 2018 года осуществить сдачу государственных регистрационных знаков транспортных средств, находящихся на консервации, на хранение исполнительному органу государственной власти, в ведении которого находятся вопросы безопасности дорожного движения;</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б) в срок до 1 февраля 2018 года представить в исполнительный орган государственной власти, в ведении которого находятся вопросы обеспечения поступления налогов, сборов и других обязательных платежей в бюджет, необходимые документы для сохранения права на льготу по налогу с владельцев транспортных средств.</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случае своевременной сдачи государственных регистрационных знаков льгота по налогу с владельцев транспортных средств будет сохранена до истечения срока нахождения транспортных средств на консервации в соответствии с порядком, действовавшим до 1 января 2017 года.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lastRenderedPageBreak/>
        <w:t>В случае нарушения срока, установленного подпунктом а) части первой настоящего пункта, организации, не осуществившие сдачу государственных регистрационных знаков транспортных средств, находящихся на консервации, на хранение исполнительному органу государственной власти, в ведении которого находятся вопросы безопасности дорожного движения, утрачивают право на льготу по налогу с владельцев транспортных средств, полученную согласно порядку, действовавшему до 1 января 2017 года, с соответствующим начислением налога с владельцев транспортных средств с 1 января 2018 года.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3. Требования части второй и части четвертой пункта 5 статьи 5-1, а также требования части шестой пункта 3 статьи 5-2 настоящего закона, устанавливающие обязанность  по уплате сборов, применяются к плательщикам, уплатившим сбор за проезд по автомобильным дорогам Приднестровской Молдавской Республики транспортных средств полной массой более 18 тонн, не зарегистрированных в Приднестровской Молдавской Республике и (или) сбор за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перевозящих некоторые категории товаров, после 31 декабря 2023 года.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4. Плательщики сбора за одноразовый или постоянный проезд, установленного в соответствии со статьей 5-1 настоящего Закона, транспортные средства которых по состоянию на 1 января 2024 года находятся на территории Приднестровской Молдавской Республики без уплаты сбора либо срок, предусмотренный уплатой сбора, истек, обязаны в срок до 1 июля 2024 года уплатить сбор за постоянный проезд в течение 1 (одного) года в размере 150 (ста пятидесяти) расчетных уровней, при этом право на перемещение по территории Приднестровской Молдавской Республики указанных транспортных средств считается возникшим с 1 января 2024 года.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В случае неуплаты сбора за постоянный проезд в течение 1 (одного) года в размере 150 (ста пятидесяти) расчетных уровней в срок, указанный в части первой настоящего пункта, таможенным органам Приднестровской Молдавской Республики принять меры для принудительного взыскания указанного сбора в порядке, установленном Таможенным кодексом Приднестровской Молдавской Республики. При взыскании таможенными органами Приднестровской Молдавской Республики указанного сбора в принудительном порядке право на перемещение по территории Приднестровской Молдавской Республики транспортных средств, являющихся объектом сбора, считается возникшим у плательщика с 1 января 2024 года.</w:t>
      </w:r>
    </w:p>
    <w:p w:rsidR="00231F07" w:rsidRPr="00231F07"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5. На 2025 год поправочный коэффициент, применяемый для корректировки расчетного уровня (РУ) устанавливается на уровне, сложившемся по состоянию на 1 января 2025 года, и подлежит последующей ежегодной корректировке в порядке, установленном статьей 4-1 настоящего Закона.</w:t>
      </w:r>
    </w:p>
    <w:p w:rsidR="00E64A86" w:rsidRPr="002D2982" w:rsidRDefault="00231F07" w:rsidP="00231F07">
      <w:pPr>
        <w:pStyle w:val="a3"/>
        <w:ind w:firstLine="709"/>
        <w:jc w:val="both"/>
        <w:rPr>
          <w:rFonts w:ascii="Times New Roman" w:hAnsi="Times New Roman" w:cs="Times New Roman"/>
          <w:sz w:val="24"/>
          <w:szCs w:val="24"/>
        </w:rPr>
      </w:pPr>
      <w:r w:rsidRPr="00231F07">
        <w:rPr>
          <w:rFonts w:ascii="Times New Roman" w:hAnsi="Times New Roman" w:cs="Times New Roman"/>
          <w:sz w:val="24"/>
          <w:szCs w:val="24"/>
        </w:rPr>
        <w:t>6. В 2025 году положения части пятой пункта 1 статьи 5 настоящего Закона в части  возможности применения коэффициентов к ставкам налога с владельцев транспортных средств применяются к плательщикам, занимающимся производством сельскохозяйственной продукции, имеющим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 налоге на доходы организаций», а также к хозяйствующим субъектам вне зависимости от организационно-правовой формы и формы собственности, занимающимся производством сельскохозяйственной продукции, при условии, что выручка от реализации сельскохозяйственной продукции собственного производства и продуктов ее переработки за предшествующий финансовый год составляет не менее 70 процентов от общей суммы дохода (выручки от реализации сельскохозяйственной продукции, товаров (при этом сумма выручки от торговой деятельности организации принимается в виде показателя товарооборота), работ, услуг, других операционных доходов, доходов от инвестиционной деятельности, доходов от финансовой деятельности).</w:t>
      </w:r>
    </w:p>
    <w:p w:rsidR="00E64A86" w:rsidRPr="002D2982" w:rsidRDefault="00E64A86" w:rsidP="002D2982">
      <w:pPr>
        <w:pStyle w:val="a3"/>
        <w:ind w:firstLine="709"/>
        <w:jc w:val="both"/>
        <w:rPr>
          <w:rFonts w:ascii="Times New Roman" w:hAnsi="Times New Roman" w:cs="Times New Roman"/>
          <w:sz w:val="24"/>
          <w:szCs w:val="24"/>
        </w:rPr>
      </w:pPr>
    </w:p>
    <w:p w:rsidR="008057DD" w:rsidRPr="002D2982" w:rsidRDefault="008057DD" w:rsidP="002D2982">
      <w:pPr>
        <w:pStyle w:val="a3"/>
        <w:ind w:firstLine="709"/>
        <w:jc w:val="center"/>
        <w:outlineLvl w:val="0"/>
        <w:rPr>
          <w:rFonts w:ascii="Times New Roman" w:hAnsi="Times New Roman" w:cs="Times New Roman"/>
          <w:b/>
          <w:sz w:val="24"/>
          <w:szCs w:val="24"/>
        </w:rPr>
      </w:pPr>
      <w:r w:rsidRPr="002D2982">
        <w:rPr>
          <w:rFonts w:ascii="Times New Roman" w:hAnsi="Times New Roman" w:cs="Times New Roman"/>
          <w:b/>
          <w:sz w:val="24"/>
          <w:szCs w:val="24"/>
        </w:rPr>
        <w:t>Статья 10. Вступление в силу настоящего Закона</w:t>
      </w:r>
    </w:p>
    <w:p w:rsidR="008057DD" w:rsidRPr="002D2982" w:rsidRDefault="008057DD" w:rsidP="002D2982">
      <w:pPr>
        <w:pStyle w:val="a3"/>
        <w:ind w:firstLine="709"/>
        <w:jc w:val="both"/>
        <w:rPr>
          <w:rFonts w:ascii="Times New Roman" w:hAnsi="Times New Roman" w:cs="Times New Roman"/>
          <w:sz w:val="24"/>
          <w:szCs w:val="24"/>
        </w:rPr>
      </w:pPr>
    </w:p>
    <w:p w:rsidR="008057DD" w:rsidRPr="002D2982" w:rsidRDefault="008057DD" w:rsidP="002D2982">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t>1. Настоящий Закон вступает в силу с 1 января 2006 года.</w:t>
      </w:r>
    </w:p>
    <w:p w:rsidR="008057DD" w:rsidRPr="002D2982" w:rsidRDefault="008057DD" w:rsidP="002D2982">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t>2. Со дня вступления в силу настоящего Закона признать утратившими силу:</w:t>
      </w:r>
    </w:p>
    <w:p w:rsidR="008057DD" w:rsidRPr="002D2982" w:rsidRDefault="008057DD" w:rsidP="002D2982">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lastRenderedPageBreak/>
        <w:t>а) Закон Приднестровской Молдавской Республики от 19  мая  1992 года "О дорожных фондах в Приднестровской Молдавской Республике" (СЗМР 92-2) в редакции Закона Приднестровской Молдавской Республики от 29  декабря  1998  года  №  132-ЗИД "О  дорожных фондах в Приднестровской Молдавской Республике" (СЗМР 98-4) с изменениями и дополнениями,  внесенными  законами Приднестровской Молдавской Республики от 11 мая 1999 года № 158-ЗД (СЗМР 99-2); от 15 декабря 1999 года № 221-ЗИД (СЗМР 99-4); от 11 февраля 2000  года  №  244-ЗД (СЗМР 00-1); от 17 мая 2000 года № 297-ЗД (СЗМР  00-1);  от  31  мая 2000 года № 301-ЗИД (СЗМР 00-2); от 30 сентября 2000 года № 341- ЗИД (СЗМР 00-3); от 4 мая 2001 года № 12-ЗИД-III (газета "Приднестровье" № 86 (1596) от 15  мая  2001  года);  от  12  октября  2001 года  № 50-ЗИД-III (САЗ 01-42); от 20 ноября  2001  года  №  65-ЗИ-III  (САЗ 01-48); от 4 апреля 2002 года № 113- ЗИ-III (САЗ 02-14); от  18  мая 2002 года № 126-ЗИ-III (САЗ 02-20); от 28 сентября 2002 года №  190-ЗИД-III (САЗ 02- 39); от 26 сентября 2003 года № 333-  ЗИД-III  (САЗ 03-39); от 24 марта 2004 года №  402-ЗИ-III  (САЗ  04-  13);  от  20 января 2005 года № 521-ЗД-III (САЗ 05-4);</w:t>
      </w:r>
    </w:p>
    <w:p w:rsidR="008057DD" w:rsidRPr="002D2982" w:rsidRDefault="008057DD" w:rsidP="002D2982">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t xml:space="preserve">б) Постановление Верховного </w:t>
      </w:r>
      <w:proofErr w:type="gramStart"/>
      <w:r w:rsidRPr="002D2982">
        <w:rPr>
          <w:rFonts w:ascii="Times New Roman" w:hAnsi="Times New Roman" w:cs="Times New Roman"/>
          <w:sz w:val="24"/>
          <w:szCs w:val="24"/>
        </w:rPr>
        <w:t>Совета  Приднестровской</w:t>
      </w:r>
      <w:proofErr w:type="gramEnd"/>
      <w:r w:rsidRPr="002D2982">
        <w:rPr>
          <w:rFonts w:ascii="Times New Roman" w:hAnsi="Times New Roman" w:cs="Times New Roman"/>
          <w:sz w:val="24"/>
          <w:szCs w:val="24"/>
        </w:rPr>
        <w:t xml:space="preserve">  Молдавской Республики от 19 мая 1992 года № 179 "О порядке введения в  действие Закона Приднестровской Молдавской Республики "О  дорожных  фондах  в Приднестровской Молдавской Республике".</w:t>
      </w:r>
    </w:p>
    <w:p w:rsidR="008057DD" w:rsidRPr="002D2982" w:rsidRDefault="008057DD" w:rsidP="002D2982">
      <w:pPr>
        <w:pStyle w:val="a3"/>
        <w:ind w:firstLine="709"/>
        <w:jc w:val="both"/>
        <w:rPr>
          <w:rFonts w:ascii="Times New Roman" w:hAnsi="Times New Roman" w:cs="Times New Roman"/>
          <w:sz w:val="24"/>
          <w:szCs w:val="24"/>
        </w:rPr>
      </w:pPr>
    </w:p>
    <w:p w:rsidR="008057DD" w:rsidRPr="002D2982" w:rsidRDefault="008057DD" w:rsidP="002D2982">
      <w:pPr>
        <w:pStyle w:val="a3"/>
        <w:ind w:firstLine="709"/>
        <w:jc w:val="both"/>
        <w:rPr>
          <w:rFonts w:ascii="Times New Roman" w:hAnsi="Times New Roman" w:cs="Times New Roman"/>
          <w:sz w:val="24"/>
          <w:szCs w:val="24"/>
        </w:rPr>
      </w:pPr>
    </w:p>
    <w:p w:rsidR="008057DD" w:rsidRPr="002D2982" w:rsidRDefault="008057DD" w:rsidP="002D2982">
      <w:pPr>
        <w:pStyle w:val="a3"/>
        <w:ind w:firstLine="709"/>
        <w:jc w:val="both"/>
        <w:outlineLvl w:val="0"/>
        <w:rPr>
          <w:rFonts w:ascii="Times New Roman" w:hAnsi="Times New Roman" w:cs="Times New Roman"/>
          <w:sz w:val="24"/>
          <w:szCs w:val="24"/>
        </w:rPr>
      </w:pPr>
      <w:r w:rsidRPr="002D2982">
        <w:rPr>
          <w:rFonts w:ascii="Times New Roman" w:hAnsi="Times New Roman" w:cs="Times New Roman"/>
          <w:sz w:val="24"/>
          <w:szCs w:val="24"/>
        </w:rPr>
        <w:t>Президент Приднестровской</w:t>
      </w:r>
    </w:p>
    <w:p w:rsidR="008057DD" w:rsidRPr="002D2982" w:rsidRDefault="008057DD" w:rsidP="002D2982">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t xml:space="preserve">Молдавской </w:t>
      </w:r>
      <w:proofErr w:type="gramStart"/>
      <w:r w:rsidRPr="002D2982">
        <w:rPr>
          <w:rFonts w:ascii="Times New Roman" w:hAnsi="Times New Roman" w:cs="Times New Roman"/>
          <w:sz w:val="24"/>
          <w:szCs w:val="24"/>
        </w:rPr>
        <w:t xml:space="preserve">Республики  </w:t>
      </w:r>
      <w:r w:rsidRPr="002D2982">
        <w:rPr>
          <w:rFonts w:ascii="Times New Roman" w:hAnsi="Times New Roman" w:cs="Times New Roman"/>
          <w:sz w:val="24"/>
          <w:szCs w:val="24"/>
        </w:rPr>
        <w:tab/>
      </w:r>
      <w:proofErr w:type="gramEnd"/>
      <w:r w:rsidRPr="002D2982">
        <w:rPr>
          <w:rFonts w:ascii="Times New Roman" w:hAnsi="Times New Roman" w:cs="Times New Roman"/>
          <w:sz w:val="24"/>
          <w:szCs w:val="24"/>
        </w:rPr>
        <w:tab/>
      </w:r>
      <w:r w:rsidRPr="002D2982">
        <w:rPr>
          <w:rFonts w:ascii="Times New Roman" w:hAnsi="Times New Roman" w:cs="Times New Roman"/>
          <w:sz w:val="24"/>
          <w:szCs w:val="24"/>
        </w:rPr>
        <w:tab/>
      </w:r>
      <w:r w:rsidRPr="002D2982">
        <w:rPr>
          <w:rFonts w:ascii="Times New Roman" w:hAnsi="Times New Roman" w:cs="Times New Roman"/>
          <w:sz w:val="24"/>
          <w:szCs w:val="24"/>
        </w:rPr>
        <w:tab/>
      </w:r>
      <w:r w:rsidRPr="002D2982">
        <w:rPr>
          <w:rFonts w:ascii="Times New Roman" w:hAnsi="Times New Roman" w:cs="Times New Roman"/>
          <w:sz w:val="24"/>
          <w:szCs w:val="24"/>
        </w:rPr>
        <w:tab/>
        <w:t>И.Н. СМИРНОВ</w:t>
      </w:r>
    </w:p>
    <w:p w:rsidR="008057DD" w:rsidRPr="002D2982" w:rsidRDefault="008057DD" w:rsidP="002D2982">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t>г. Тирасполь</w:t>
      </w:r>
    </w:p>
    <w:p w:rsidR="008057DD" w:rsidRPr="002D2982" w:rsidRDefault="008057DD" w:rsidP="002D2982">
      <w:pPr>
        <w:pStyle w:val="a3"/>
        <w:ind w:firstLine="709"/>
        <w:jc w:val="both"/>
        <w:rPr>
          <w:rFonts w:ascii="Times New Roman" w:hAnsi="Times New Roman" w:cs="Times New Roman"/>
          <w:sz w:val="24"/>
          <w:szCs w:val="24"/>
        </w:rPr>
      </w:pPr>
      <w:proofErr w:type="gramStart"/>
      <w:r w:rsidRPr="002D2982">
        <w:rPr>
          <w:rFonts w:ascii="Times New Roman" w:hAnsi="Times New Roman" w:cs="Times New Roman"/>
          <w:sz w:val="24"/>
          <w:szCs w:val="24"/>
        </w:rPr>
        <w:t>« 29</w:t>
      </w:r>
      <w:proofErr w:type="gramEnd"/>
      <w:r w:rsidRPr="002D2982">
        <w:rPr>
          <w:rFonts w:ascii="Times New Roman" w:hAnsi="Times New Roman" w:cs="Times New Roman"/>
          <w:sz w:val="24"/>
          <w:szCs w:val="24"/>
        </w:rPr>
        <w:t xml:space="preserve"> »  сентября  2005 года</w:t>
      </w:r>
    </w:p>
    <w:p w:rsidR="00186209" w:rsidRPr="00186209" w:rsidRDefault="008057DD" w:rsidP="00186209">
      <w:pPr>
        <w:pStyle w:val="a3"/>
        <w:ind w:firstLine="709"/>
        <w:jc w:val="both"/>
        <w:rPr>
          <w:rFonts w:ascii="Times New Roman" w:hAnsi="Times New Roman" w:cs="Times New Roman"/>
          <w:sz w:val="24"/>
          <w:szCs w:val="24"/>
        </w:rPr>
      </w:pPr>
      <w:r w:rsidRPr="002D2982">
        <w:rPr>
          <w:rFonts w:ascii="Times New Roman" w:hAnsi="Times New Roman" w:cs="Times New Roman"/>
          <w:sz w:val="24"/>
          <w:szCs w:val="24"/>
        </w:rPr>
        <w:t>№ 630-З-</w:t>
      </w:r>
      <w:r w:rsidRPr="002D2982">
        <w:rPr>
          <w:rFonts w:ascii="Times New Roman" w:hAnsi="Times New Roman" w:cs="Times New Roman"/>
          <w:sz w:val="24"/>
          <w:szCs w:val="24"/>
          <w:lang w:val="en-US"/>
        </w:rPr>
        <w:t>III</w:t>
      </w:r>
      <w:r w:rsidRPr="002D2982">
        <w:rPr>
          <w:rFonts w:ascii="Times New Roman" w:hAnsi="Times New Roman" w:cs="Times New Roman"/>
          <w:sz w:val="24"/>
          <w:szCs w:val="24"/>
        </w:rPr>
        <w:br w:type="page"/>
      </w:r>
    </w:p>
    <w:p w:rsidR="00186209" w:rsidRPr="00186209" w:rsidRDefault="00186209" w:rsidP="00186209">
      <w:pPr>
        <w:ind w:left="4536"/>
        <w:jc w:val="right"/>
        <w:rPr>
          <w:bCs/>
        </w:rPr>
      </w:pPr>
      <w:r w:rsidRPr="00186209">
        <w:rPr>
          <w:bCs/>
        </w:rPr>
        <w:lastRenderedPageBreak/>
        <w:t>Приложение № 1</w:t>
      </w:r>
    </w:p>
    <w:p w:rsidR="00186209" w:rsidRPr="00186209" w:rsidRDefault="00186209" w:rsidP="00186209">
      <w:pPr>
        <w:ind w:left="4536"/>
        <w:jc w:val="both"/>
        <w:rPr>
          <w:bCs/>
        </w:rPr>
      </w:pPr>
      <w:r w:rsidRPr="00186209">
        <w:rPr>
          <w:bCs/>
        </w:rPr>
        <w:t>к Закону Приднестровской Молдавской Республики «О Дорожном фонде Приднестровской Молдавской Республики»</w:t>
      </w:r>
    </w:p>
    <w:p w:rsidR="00186209" w:rsidRPr="00186209" w:rsidRDefault="00186209" w:rsidP="00186209">
      <w:pPr>
        <w:jc w:val="both"/>
        <w:rPr>
          <w:bCs/>
        </w:rPr>
      </w:pPr>
    </w:p>
    <w:p w:rsidR="00186209" w:rsidRPr="00186209" w:rsidRDefault="00186209" w:rsidP="00186209">
      <w:pPr>
        <w:jc w:val="center"/>
        <w:rPr>
          <w:b/>
          <w:bCs/>
        </w:rPr>
      </w:pPr>
      <w:r w:rsidRPr="00186209">
        <w:rPr>
          <w:b/>
          <w:bCs/>
          <w:caps/>
        </w:rPr>
        <w:t>С</w:t>
      </w:r>
      <w:r w:rsidRPr="00186209">
        <w:rPr>
          <w:b/>
          <w:bCs/>
        </w:rPr>
        <w:t>тавки налога с владельцев транспортных средств</w:t>
      </w:r>
    </w:p>
    <w:p w:rsidR="00186209" w:rsidRPr="00186209" w:rsidRDefault="00186209" w:rsidP="00186209">
      <w:pPr>
        <w:jc w:val="center"/>
        <w:rPr>
          <w:bCs/>
          <w:caps/>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3260"/>
      </w:tblGrid>
      <w:tr w:rsidR="00186209" w:rsidRPr="00186209" w:rsidTr="00C16588">
        <w:trPr>
          <w:trHeight w:val="314"/>
        </w:trPr>
        <w:tc>
          <w:tcPr>
            <w:tcW w:w="5813"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b/>
                <w:bCs/>
                <w:sz w:val="22"/>
              </w:rPr>
            </w:pPr>
            <w:r w:rsidRPr="00186209">
              <w:rPr>
                <w:b/>
                <w:bCs/>
                <w:sz w:val="22"/>
              </w:rPr>
              <w:t>Наименование объекта</w:t>
            </w:r>
          </w:p>
          <w:p w:rsidR="00186209" w:rsidRPr="00186209" w:rsidRDefault="00186209" w:rsidP="00C16588">
            <w:pPr>
              <w:jc w:val="center"/>
              <w:rPr>
                <w:b/>
                <w:bCs/>
                <w:sz w:val="22"/>
              </w:rPr>
            </w:pPr>
            <w:r w:rsidRPr="00186209">
              <w:rPr>
                <w:b/>
                <w:bCs/>
                <w:sz w:val="22"/>
              </w:rPr>
              <w:t>налогообложения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b/>
                <w:bCs/>
                <w:sz w:val="22"/>
              </w:rPr>
            </w:pPr>
            <w:r w:rsidRPr="00186209">
              <w:rPr>
                <w:b/>
                <w:bCs/>
                <w:sz w:val="22"/>
              </w:rPr>
              <w:t>Ставка годового налога в РУ</w:t>
            </w:r>
          </w:p>
          <w:p w:rsidR="00186209" w:rsidRPr="00186209" w:rsidRDefault="00186209" w:rsidP="00C16588">
            <w:pPr>
              <w:jc w:val="center"/>
              <w:rPr>
                <w:b/>
                <w:bCs/>
                <w:sz w:val="22"/>
              </w:rPr>
            </w:pPr>
            <w:r w:rsidRPr="00186209">
              <w:rPr>
                <w:b/>
                <w:bCs/>
                <w:sz w:val="22"/>
              </w:rPr>
              <w:t>(на момент оплаты)</w:t>
            </w:r>
          </w:p>
        </w:tc>
      </w:tr>
      <w:tr w:rsidR="00186209" w:rsidRPr="00186209" w:rsidTr="00C16588">
        <w:trPr>
          <w:trHeight w:val="343"/>
        </w:trPr>
        <w:tc>
          <w:tcPr>
            <w:tcW w:w="5813"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rPr>
                <w:bCs/>
                <w:sz w:val="22"/>
              </w:rPr>
            </w:pPr>
            <w:r w:rsidRPr="00186209">
              <w:rPr>
                <w:bCs/>
                <w:sz w:val="22"/>
              </w:rPr>
              <w:t xml:space="preserve">1. </w:t>
            </w:r>
            <w:r w:rsidRPr="00186209">
              <w:rPr>
                <w:sz w:val="22"/>
              </w:rPr>
              <w:t>Мотоциклы и мотороллеры</w:t>
            </w:r>
          </w:p>
        </w:tc>
        <w:tc>
          <w:tcPr>
            <w:tcW w:w="3260"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bCs/>
                <w:sz w:val="22"/>
                <w:lang w:val="en-US"/>
              </w:rPr>
            </w:pPr>
            <w:r w:rsidRPr="00186209">
              <w:rPr>
                <w:bCs/>
                <w:sz w:val="22"/>
                <w:lang w:val="en-US"/>
              </w:rPr>
              <w:t>2</w:t>
            </w:r>
          </w:p>
        </w:tc>
      </w:tr>
      <w:tr w:rsidR="00186209" w:rsidRPr="00186209" w:rsidTr="00C16588">
        <w:trPr>
          <w:trHeight w:val="1169"/>
        </w:trPr>
        <w:tc>
          <w:tcPr>
            <w:tcW w:w="5813"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jc w:val="both"/>
              <w:rPr>
                <w:bCs/>
                <w:sz w:val="22"/>
              </w:rPr>
            </w:pPr>
            <w:r w:rsidRPr="00186209">
              <w:rPr>
                <w:bCs/>
                <w:sz w:val="22"/>
              </w:rPr>
              <w:t>2. Легковые автомобили с рабочим объемом двигателя (куб. см):</w:t>
            </w:r>
          </w:p>
          <w:p w:rsidR="00186209" w:rsidRPr="00186209" w:rsidRDefault="00186209" w:rsidP="00C16588">
            <w:pPr>
              <w:jc w:val="both"/>
              <w:rPr>
                <w:bCs/>
                <w:sz w:val="22"/>
              </w:rPr>
            </w:pPr>
            <w:r w:rsidRPr="00186209">
              <w:rPr>
                <w:bCs/>
                <w:sz w:val="22"/>
              </w:rPr>
              <w:t>а) до 1100 куб. см включительно;</w:t>
            </w:r>
          </w:p>
          <w:p w:rsidR="00186209" w:rsidRPr="00186209" w:rsidRDefault="00186209" w:rsidP="00C16588">
            <w:pPr>
              <w:jc w:val="both"/>
              <w:rPr>
                <w:bCs/>
                <w:sz w:val="22"/>
              </w:rPr>
            </w:pPr>
            <w:r w:rsidRPr="00186209">
              <w:rPr>
                <w:bCs/>
                <w:sz w:val="22"/>
              </w:rPr>
              <w:t>б) от 1101 до 1500 куб. см включительно;</w:t>
            </w:r>
          </w:p>
          <w:p w:rsidR="00186209" w:rsidRPr="00186209" w:rsidRDefault="00186209" w:rsidP="00C16588">
            <w:pPr>
              <w:jc w:val="both"/>
              <w:rPr>
                <w:bCs/>
                <w:sz w:val="22"/>
              </w:rPr>
            </w:pPr>
            <w:r w:rsidRPr="00186209">
              <w:rPr>
                <w:bCs/>
                <w:sz w:val="22"/>
              </w:rPr>
              <w:t>в) от 1501 до 2000 куб. см включительно;</w:t>
            </w:r>
          </w:p>
          <w:p w:rsidR="00186209" w:rsidRPr="00186209" w:rsidRDefault="00186209" w:rsidP="00C16588">
            <w:pPr>
              <w:jc w:val="both"/>
              <w:rPr>
                <w:bCs/>
                <w:sz w:val="22"/>
              </w:rPr>
            </w:pPr>
            <w:r w:rsidRPr="00186209">
              <w:rPr>
                <w:bCs/>
                <w:sz w:val="22"/>
              </w:rPr>
              <w:t>г) от 2001 до 2500 куб. см включительно;</w:t>
            </w:r>
          </w:p>
          <w:p w:rsidR="00186209" w:rsidRPr="00186209" w:rsidRDefault="00186209" w:rsidP="00C16588">
            <w:pPr>
              <w:jc w:val="both"/>
              <w:rPr>
                <w:bCs/>
                <w:sz w:val="22"/>
              </w:rPr>
            </w:pPr>
            <w:r w:rsidRPr="00186209">
              <w:rPr>
                <w:bCs/>
                <w:sz w:val="22"/>
              </w:rPr>
              <w:t>д) от 2501 до 3000 куб. см включительно;</w:t>
            </w:r>
          </w:p>
          <w:p w:rsidR="00186209" w:rsidRPr="00186209" w:rsidRDefault="00186209" w:rsidP="00C16588">
            <w:pPr>
              <w:jc w:val="both"/>
              <w:rPr>
                <w:bCs/>
                <w:sz w:val="22"/>
              </w:rPr>
            </w:pPr>
            <w:r w:rsidRPr="00186209">
              <w:rPr>
                <w:bCs/>
                <w:sz w:val="22"/>
              </w:rPr>
              <w:t>е) от 3001 до 4000 куб. см включительно;</w:t>
            </w:r>
          </w:p>
          <w:p w:rsidR="00186209" w:rsidRPr="00186209" w:rsidRDefault="00186209" w:rsidP="00C16588">
            <w:pPr>
              <w:jc w:val="both"/>
              <w:rPr>
                <w:bCs/>
                <w:sz w:val="22"/>
              </w:rPr>
            </w:pPr>
            <w:r w:rsidRPr="00186209">
              <w:rPr>
                <w:bCs/>
                <w:sz w:val="22"/>
              </w:rPr>
              <w:t xml:space="preserve">ж) свыше 4000 куб. см </w:t>
            </w:r>
          </w:p>
        </w:tc>
        <w:tc>
          <w:tcPr>
            <w:tcW w:w="3260"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jc w:val="center"/>
              <w:rPr>
                <w:bCs/>
                <w:sz w:val="22"/>
              </w:rPr>
            </w:pPr>
          </w:p>
          <w:p w:rsidR="00186209" w:rsidRPr="00186209" w:rsidRDefault="00186209" w:rsidP="00C16588">
            <w:pPr>
              <w:jc w:val="center"/>
              <w:rPr>
                <w:bCs/>
                <w:sz w:val="22"/>
                <w:lang w:val="en-US"/>
              </w:rPr>
            </w:pPr>
          </w:p>
          <w:p w:rsidR="00186209" w:rsidRPr="00186209" w:rsidRDefault="00186209" w:rsidP="00C16588">
            <w:pPr>
              <w:jc w:val="center"/>
              <w:rPr>
                <w:bCs/>
                <w:sz w:val="22"/>
                <w:lang w:val="en-US"/>
              </w:rPr>
            </w:pPr>
            <w:r w:rsidRPr="00186209">
              <w:rPr>
                <w:bCs/>
                <w:sz w:val="22"/>
                <w:lang w:val="en-US"/>
              </w:rPr>
              <w:t>7</w:t>
            </w:r>
          </w:p>
          <w:p w:rsidR="00186209" w:rsidRPr="00186209" w:rsidRDefault="00186209" w:rsidP="00C16588">
            <w:pPr>
              <w:jc w:val="center"/>
              <w:rPr>
                <w:bCs/>
                <w:sz w:val="22"/>
                <w:lang w:val="en-US"/>
              </w:rPr>
            </w:pPr>
            <w:r w:rsidRPr="00186209">
              <w:rPr>
                <w:bCs/>
                <w:sz w:val="22"/>
                <w:lang w:val="en-US"/>
              </w:rPr>
              <w:t>8</w:t>
            </w:r>
          </w:p>
          <w:p w:rsidR="00186209" w:rsidRPr="00186209" w:rsidRDefault="00186209" w:rsidP="00C16588">
            <w:pPr>
              <w:jc w:val="center"/>
              <w:rPr>
                <w:bCs/>
                <w:sz w:val="22"/>
              </w:rPr>
            </w:pPr>
            <w:r w:rsidRPr="00186209">
              <w:rPr>
                <w:bCs/>
                <w:sz w:val="22"/>
                <w:lang w:val="en-US"/>
              </w:rPr>
              <w:t>2</w:t>
            </w:r>
            <w:r w:rsidRPr="00186209">
              <w:rPr>
                <w:bCs/>
                <w:sz w:val="22"/>
              </w:rPr>
              <w:t>0</w:t>
            </w:r>
          </w:p>
          <w:p w:rsidR="00186209" w:rsidRPr="00186209" w:rsidRDefault="00186209" w:rsidP="00C16588">
            <w:pPr>
              <w:jc w:val="center"/>
              <w:rPr>
                <w:bCs/>
                <w:sz w:val="22"/>
              </w:rPr>
            </w:pPr>
            <w:r w:rsidRPr="00186209">
              <w:rPr>
                <w:bCs/>
                <w:sz w:val="22"/>
              </w:rPr>
              <w:t>50</w:t>
            </w:r>
          </w:p>
          <w:p w:rsidR="00186209" w:rsidRPr="00186209" w:rsidRDefault="00186209" w:rsidP="00C16588">
            <w:pPr>
              <w:jc w:val="center"/>
              <w:rPr>
                <w:bCs/>
                <w:sz w:val="22"/>
              </w:rPr>
            </w:pPr>
            <w:r w:rsidRPr="00186209">
              <w:rPr>
                <w:bCs/>
                <w:sz w:val="22"/>
              </w:rPr>
              <w:t>100</w:t>
            </w:r>
          </w:p>
          <w:p w:rsidR="00186209" w:rsidRPr="00186209" w:rsidRDefault="00186209" w:rsidP="00C16588">
            <w:pPr>
              <w:jc w:val="center"/>
              <w:rPr>
                <w:bCs/>
                <w:sz w:val="22"/>
              </w:rPr>
            </w:pPr>
            <w:r w:rsidRPr="00186209">
              <w:rPr>
                <w:bCs/>
                <w:sz w:val="22"/>
              </w:rPr>
              <w:t>200</w:t>
            </w:r>
          </w:p>
          <w:p w:rsidR="00186209" w:rsidRPr="00186209" w:rsidRDefault="00186209" w:rsidP="00C16588">
            <w:pPr>
              <w:jc w:val="center"/>
              <w:rPr>
                <w:bCs/>
                <w:sz w:val="22"/>
              </w:rPr>
            </w:pPr>
            <w:r w:rsidRPr="00186209">
              <w:rPr>
                <w:bCs/>
                <w:sz w:val="22"/>
              </w:rPr>
              <w:t>250</w:t>
            </w:r>
          </w:p>
        </w:tc>
      </w:tr>
      <w:tr w:rsidR="00186209" w:rsidRPr="00186209" w:rsidTr="00C16588">
        <w:trPr>
          <w:trHeight w:val="1069"/>
        </w:trPr>
        <w:tc>
          <w:tcPr>
            <w:tcW w:w="5813"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jc w:val="both"/>
              <w:rPr>
                <w:bCs/>
                <w:sz w:val="22"/>
              </w:rPr>
            </w:pPr>
            <w:r w:rsidRPr="00186209">
              <w:rPr>
                <w:bCs/>
                <w:sz w:val="22"/>
              </w:rPr>
              <w:t>3. Автобусы:</w:t>
            </w:r>
          </w:p>
          <w:p w:rsidR="00186209" w:rsidRPr="00186209" w:rsidRDefault="00186209" w:rsidP="00C16588">
            <w:pPr>
              <w:jc w:val="both"/>
              <w:rPr>
                <w:bCs/>
                <w:sz w:val="22"/>
              </w:rPr>
            </w:pPr>
            <w:r w:rsidRPr="00186209">
              <w:rPr>
                <w:bCs/>
                <w:sz w:val="22"/>
              </w:rPr>
              <w:t>а) до 11 посадочных мест включительно;</w:t>
            </w:r>
          </w:p>
          <w:p w:rsidR="00186209" w:rsidRPr="00186209" w:rsidRDefault="00186209" w:rsidP="00C16588">
            <w:pPr>
              <w:jc w:val="both"/>
              <w:rPr>
                <w:bCs/>
                <w:sz w:val="22"/>
              </w:rPr>
            </w:pPr>
            <w:r w:rsidRPr="00186209">
              <w:rPr>
                <w:bCs/>
                <w:sz w:val="22"/>
              </w:rPr>
              <w:t>б) от 12 до 18 посадочных мест включительно;</w:t>
            </w:r>
          </w:p>
          <w:p w:rsidR="00186209" w:rsidRPr="00186209" w:rsidRDefault="00186209" w:rsidP="00C16588">
            <w:pPr>
              <w:jc w:val="both"/>
              <w:rPr>
                <w:bCs/>
                <w:sz w:val="22"/>
              </w:rPr>
            </w:pPr>
            <w:r w:rsidRPr="00186209">
              <w:rPr>
                <w:bCs/>
                <w:sz w:val="22"/>
              </w:rPr>
              <w:t>в) от 19 до 24 посадочных мест включительно;</w:t>
            </w:r>
          </w:p>
          <w:p w:rsidR="00186209" w:rsidRPr="00186209" w:rsidRDefault="00186209" w:rsidP="00C16588">
            <w:pPr>
              <w:jc w:val="both"/>
              <w:rPr>
                <w:bCs/>
                <w:sz w:val="22"/>
              </w:rPr>
            </w:pPr>
            <w:r w:rsidRPr="00186209">
              <w:rPr>
                <w:bCs/>
                <w:sz w:val="22"/>
              </w:rPr>
              <w:t>г) от 25 до 40 посадочных мест включительно;</w:t>
            </w:r>
          </w:p>
          <w:p w:rsidR="00186209" w:rsidRPr="00186209" w:rsidRDefault="00186209" w:rsidP="00C16588">
            <w:pPr>
              <w:jc w:val="both"/>
              <w:rPr>
                <w:bCs/>
                <w:sz w:val="22"/>
              </w:rPr>
            </w:pPr>
            <w:r w:rsidRPr="00186209">
              <w:rPr>
                <w:bCs/>
                <w:sz w:val="22"/>
              </w:rPr>
              <w:t>д) свыше 40 посадочных мест</w:t>
            </w:r>
          </w:p>
        </w:tc>
        <w:tc>
          <w:tcPr>
            <w:tcW w:w="3260"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jc w:val="center"/>
              <w:rPr>
                <w:bCs/>
                <w:sz w:val="22"/>
              </w:rPr>
            </w:pPr>
          </w:p>
          <w:p w:rsidR="00186209" w:rsidRPr="00186209" w:rsidRDefault="00186209" w:rsidP="00C16588">
            <w:pPr>
              <w:jc w:val="center"/>
              <w:rPr>
                <w:bCs/>
                <w:sz w:val="22"/>
              </w:rPr>
            </w:pPr>
            <w:r w:rsidRPr="00186209">
              <w:rPr>
                <w:bCs/>
                <w:sz w:val="22"/>
              </w:rPr>
              <w:t>70</w:t>
            </w:r>
          </w:p>
          <w:p w:rsidR="00186209" w:rsidRPr="00186209" w:rsidRDefault="00186209" w:rsidP="00C16588">
            <w:pPr>
              <w:jc w:val="center"/>
              <w:rPr>
                <w:bCs/>
                <w:sz w:val="22"/>
              </w:rPr>
            </w:pPr>
            <w:r w:rsidRPr="00186209">
              <w:rPr>
                <w:bCs/>
                <w:sz w:val="22"/>
              </w:rPr>
              <w:t>120</w:t>
            </w:r>
          </w:p>
          <w:p w:rsidR="00186209" w:rsidRPr="00186209" w:rsidRDefault="00186209" w:rsidP="00C16588">
            <w:pPr>
              <w:jc w:val="center"/>
              <w:rPr>
                <w:bCs/>
                <w:sz w:val="22"/>
              </w:rPr>
            </w:pPr>
            <w:r w:rsidRPr="00186209">
              <w:rPr>
                <w:bCs/>
                <w:sz w:val="22"/>
              </w:rPr>
              <w:t>180</w:t>
            </w:r>
          </w:p>
          <w:p w:rsidR="00186209" w:rsidRPr="00186209" w:rsidRDefault="00186209" w:rsidP="00C16588">
            <w:pPr>
              <w:jc w:val="center"/>
              <w:rPr>
                <w:bCs/>
                <w:sz w:val="22"/>
              </w:rPr>
            </w:pPr>
            <w:r w:rsidRPr="00186209">
              <w:rPr>
                <w:bCs/>
                <w:sz w:val="22"/>
              </w:rPr>
              <w:t>200</w:t>
            </w:r>
          </w:p>
          <w:p w:rsidR="00186209" w:rsidRPr="00186209" w:rsidRDefault="00186209" w:rsidP="00C16588">
            <w:pPr>
              <w:jc w:val="center"/>
              <w:rPr>
                <w:bCs/>
                <w:sz w:val="22"/>
              </w:rPr>
            </w:pPr>
            <w:r w:rsidRPr="00186209">
              <w:rPr>
                <w:bCs/>
                <w:sz w:val="22"/>
              </w:rPr>
              <w:t>280</w:t>
            </w:r>
          </w:p>
        </w:tc>
      </w:tr>
      <w:tr w:rsidR="00186209" w:rsidRPr="00186209" w:rsidTr="00C16588">
        <w:trPr>
          <w:trHeight w:val="1419"/>
        </w:trPr>
        <w:tc>
          <w:tcPr>
            <w:tcW w:w="5813"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jc w:val="both"/>
              <w:rPr>
                <w:bCs/>
                <w:sz w:val="22"/>
              </w:rPr>
            </w:pPr>
            <w:r w:rsidRPr="00186209">
              <w:rPr>
                <w:bCs/>
                <w:sz w:val="22"/>
              </w:rPr>
              <w:t>4. Грузовые автомобили общей массой перевозимых грузов (грузоподъемностью, без учета прицепов):</w:t>
            </w:r>
          </w:p>
          <w:p w:rsidR="00186209" w:rsidRPr="00186209" w:rsidRDefault="00186209" w:rsidP="00C16588">
            <w:pPr>
              <w:jc w:val="both"/>
              <w:rPr>
                <w:bCs/>
                <w:sz w:val="22"/>
              </w:rPr>
            </w:pPr>
            <w:r w:rsidRPr="00186209">
              <w:rPr>
                <w:bCs/>
                <w:sz w:val="22"/>
              </w:rPr>
              <w:t>а) до 1,6 тонны включительно;</w:t>
            </w:r>
          </w:p>
          <w:p w:rsidR="00186209" w:rsidRPr="00186209" w:rsidRDefault="00186209" w:rsidP="00C16588">
            <w:pPr>
              <w:jc w:val="both"/>
              <w:rPr>
                <w:bCs/>
                <w:sz w:val="22"/>
              </w:rPr>
            </w:pPr>
            <w:r w:rsidRPr="00186209">
              <w:rPr>
                <w:bCs/>
                <w:sz w:val="22"/>
              </w:rPr>
              <w:t>б) от 1,61 до 5 тонн включительно;</w:t>
            </w:r>
          </w:p>
          <w:p w:rsidR="00186209" w:rsidRPr="00186209" w:rsidRDefault="00186209" w:rsidP="00C16588">
            <w:pPr>
              <w:jc w:val="both"/>
              <w:rPr>
                <w:bCs/>
                <w:sz w:val="22"/>
              </w:rPr>
            </w:pPr>
            <w:r w:rsidRPr="00186209">
              <w:rPr>
                <w:bCs/>
                <w:sz w:val="22"/>
              </w:rPr>
              <w:t>в) от 5,01 до 10 тонн включительно;</w:t>
            </w:r>
          </w:p>
          <w:p w:rsidR="00186209" w:rsidRPr="00186209" w:rsidRDefault="00186209" w:rsidP="00C16588">
            <w:pPr>
              <w:jc w:val="both"/>
              <w:rPr>
                <w:bCs/>
                <w:sz w:val="22"/>
              </w:rPr>
            </w:pPr>
            <w:r w:rsidRPr="00186209">
              <w:rPr>
                <w:bCs/>
                <w:sz w:val="22"/>
              </w:rPr>
              <w:t>г) от 10,01 до 18 тонн включительно;</w:t>
            </w:r>
          </w:p>
          <w:p w:rsidR="00186209" w:rsidRPr="00186209" w:rsidRDefault="00186209" w:rsidP="00C16588">
            <w:pPr>
              <w:jc w:val="both"/>
              <w:rPr>
                <w:bCs/>
                <w:sz w:val="22"/>
              </w:rPr>
            </w:pPr>
            <w:r w:rsidRPr="00186209">
              <w:rPr>
                <w:bCs/>
                <w:sz w:val="22"/>
              </w:rPr>
              <w:t>д) свыше 18 тонн</w:t>
            </w:r>
          </w:p>
        </w:tc>
        <w:tc>
          <w:tcPr>
            <w:tcW w:w="3260"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jc w:val="center"/>
              <w:rPr>
                <w:bCs/>
                <w:sz w:val="22"/>
              </w:rPr>
            </w:pPr>
          </w:p>
          <w:p w:rsidR="00186209" w:rsidRPr="00186209" w:rsidRDefault="00186209" w:rsidP="00C16588">
            <w:pPr>
              <w:jc w:val="center"/>
              <w:rPr>
                <w:bCs/>
                <w:sz w:val="22"/>
              </w:rPr>
            </w:pPr>
          </w:p>
          <w:p w:rsidR="00186209" w:rsidRPr="00186209" w:rsidRDefault="00186209" w:rsidP="00C16588">
            <w:pPr>
              <w:jc w:val="center"/>
              <w:rPr>
                <w:bCs/>
                <w:sz w:val="22"/>
              </w:rPr>
            </w:pPr>
          </w:p>
          <w:p w:rsidR="00186209" w:rsidRPr="00186209" w:rsidRDefault="00186209" w:rsidP="00C16588">
            <w:pPr>
              <w:jc w:val="center"/>
              <w:rPr>
                <w:bCs/>
                <w:sz w:val="22"/>
              </w:rPr>
            </w:pPr>
            <w:r w:rsidRPr="00186209">
              <w:rPr>
                <w:bCs/>
                <w:sz w:val="22"/>
              </w:rPr>
              <w:t>50</w:t>
            </w:r>
          </w:p>
          <w:p w:rsidR="00186209" w:rsidRPr="00186209" w:rsidRDefault="00186209" w:rsidP="00C16588">
            <w:pPr>
              <w:jc w:val="center"/>
              <w:rPr>
                <w:bCs/>
                <w:sz w:val="22"/>
              </w:rPr>
            </w:pPr>
            <w:r w:rsidRPr="00186209">
              <w:rPr>
                <w:bCs/>
                <w:sz w:val="22"/>
              </w:rPr>
              <w:t>80</w:t>
            </w:r>
          </w:p>
          <w:p w:rsidR="00186209" w:rsidRPr="00186209" w:rsidRDefault="00186209" w:rsidP="00C16588">
            <w:pPr>
              <w:jc w:val="center"/>
              <w:rPr>
                <w:bCs/>
                <w:sz w:val="22"/>
              </w:rPr>
            </w:pPr>
            <w:r w:rsidRPr="00186209">
              <w:rPr>
                <w:bCs/>
                <w:sz w:val="22"/>
              </w:rPr>
              <w:t>120</w:t>
            </w:r>
          </w:p>
          <w:p w:rsidR="00186209" w:rsidRPr="00186209" w:rsidRDefault="00186209" w:rsidP="00C16588">
            <w:pPr>
              <w:jc w:val="center"/>
              <w:rPr>
                <w:bCs/>
                <w:sz w:val="22"/>
              </w:rPr>
            </w:pPr>
            <w:r w:rsidRPr="00186209">
              <w:rPr>
                <w:bCs/>
                <w:sz w:val="22"/>
              </w:rPr>
              <w:t>200</w:t>
            </w:r>
          </w:p>
          <w:p w:rsidR="00186209" w:rsidRPr="00186209" w:rsidRDefault="00186209" w:rsidP="00C16588">
            <w:pPr>
              <w:jc w:val="center"/>
              <w:rPr>
                <w:bCs/>
                <w:sz w:val="22"/>
              </w:rPr>
            </w:pPr>
            <w:r w:rsidRPr="00186209">
              <w:rPr>
                <w:bCs/>
                <w:sz w:val="22"/>
              </w:rPr>
              <w:t>250</w:t>
            </w:r>
          </w:p>
        </w:tc>
      </w:tr>
      <w:tr w:rsidR="00186209" w:rsidRPr="00186209" w:rsidTr="00C16588">
        <w:trPr>
          <w:trHeight w:val="1419"/>
        </w:trPr>
        <w:tc>
          <w:tcPr>
            <w:tcW w:w="5813"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jc w:val="both"/>
              <w:rPr>
                <w:bCs/>
                <w:sz w:val="22"/>
              </w:rPr>
            </w:pPr>
            <w:r w:rsidRPr="00186209">
              <w:rPr>
                <w:bCs/>
                <w:sz w:val="22"/>
              </w:rPr>
              <w:t>5. Прицепы и полуприцепы:</w:t>
            </w:r>
          </w:p>
          <w:p w:rsidR="00186209" w:rsidRPr="00186209" w:rsidRDefault="00186209" w:rsidP="00C16588">
            <w:pPr>
              <w:jc w:val="both"/>
              <w:rPr>
                <w:bCs/>
                <w:sz w:val="22"/>
              </w:rPr>
            </w:pPr>
            <w:r w:rsidRPr="00186209">
              <w:rPr>
                <w:bCs/>
                <w:sz w:val="22"/>
              </w:rPr>
              <w:t xml:space="preserve">а) легковые; </w:t>
            </w:r>
          </w:p>
          <w:p w:rsidR="00186209" w:rsidRPr="00186209" w:rsidRDefault="00186209" w:rsidP="00C16588">
            <w:pPr>
              <w:jc w:val="both"/>
              <w:rPr>
                <w:bCs/>
                <w:sz w:val="22"/>
              </w:rPr>
            </w:pPr>
            <w:r w:rsidRPr="00186209">
              <w:rPr>
                <w:bCs/>
                <w:sz w:val="22"/>
              </w:rPr>
              <w:t>б) грузовые:</w:t>
            </w:r>
          </w:p>
          <w:p w:rsidR="00186209" w:rsidRPr="00186209" w:rsidRDefault="00186209" w:rsidP="00C16588">
            <w:pPr>
              <w:jc w:val="both"/>
              <w:rPr>
                <w:bCs/>
                <w:sz w:val="22"/>
              </w:rPr>
            </w:pPr>
            <w:r w:rsidRPr="00186209">
              <w:rPr>
                <w:bCs/>
                <w:sz w:val="22"/>
              </w:rPr>
              <w:t>1) грузоподъемность до 2 тонн включительно;</w:t>
            </w:r>
          </w:p>
          <w:p w:rsidR="00186209" w:rsidRPr="00186209" w:rsidRDefault="00186209" w:rsidP="00C16588">
            <w:pPr>
              <w:jc w:val="both"/>
              <w:rPr>
                <w:bCs/>
                <w:sz w:val="22"/>
              </w:rPr>
            </w:pPr>
            <w:r w:rsidRPr="00186209">
              <w:rPr>
                <w:bCs/>
                <w:sz w:val="22"/>
              </w:rPr>
              <w:t>2) грузоподъемность от 2,01 до 4 тонн включительно;</w:t>
            </w:r>
          </w:p>
          <w:p w:rsidR="00186209" w:rsidRPr="00186209" w:rsidRDefault="00186209" w:rsidP="00C16588">
            <w:pPr>
              <w:jc w:val="both"/>
              <w:rPr>
                <w:bCs/>
                <w:sz w:val="22"/>
              </w:rPr>
            </w:pPr>
            <w:r w:rsidRPr="00186209">
              <w:rPr>
                <w:bCs/>
                <w:sz w:val="22"/>
              </w:rPr>
              <w:t>3) грузоподъемность от 4,01 до 7 тонн включительно;</w:t>
            </w:r>
          </w:p>
          <w:p w:rsidR="00186209" w:rsidRPr="00186209" w:rsidRDefault="00186209" w:rsidP="00C16588">
            <w:pPr>
              <w:jc w:val="both"/>
              <w:rPr>
                <w:bCs/>
                <w:sz w:val="22"/>
              </w:rPr>
            </w:pPr>
            <w:r w:rsidRPr="00186209">
              <w:rPr>
                <w:bCs/>
                <w:sz w:val="22"/>
              </w:rPr>
              <w:t>4) грузоподъемность от 7,01 до 10 тонн включительно;</w:t>
            </w:r>
          </w:p>
          <w:p w:rsidR="00186209" w:rsidRPr="00186209" w:rsidRDefault="00186209" w:rsidP="00C16588">
            <w:pPr>
              <w:jc w:val="both"/>
              <w:rPr>
                <w:bCs/>
                <w:sz w:val="22"/>
              </w:rPr>
            </w:pPr>
            <w:r w:rsidRPr="00186209">
              <w:rPr>
                <w:bCs/>
                <w:sz w:val="22"/>
              </w:rPr>
              <w:t>5) грузоподъемность свыше 10 тонн</w:t>
            </w:r>
          </w:p>
        </w:tc>
        <w:tc>
          <w:tcPr>
            <w:tcW w:w="3260"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jc w:val="center"/>
              <w:rPr>
                <w:bCs/>
                <w:sz w:val="22"/>
              </w:rPr>
            </w:pPr>
          </w:p>
          <w:p w:rsidR="00186209" w:rsidRPr="00186209" w:rsidRDefault="00186209" w:rsidP="00C16588">
            <w:pPr>
              <w:jc w:val="center"/>
              <w:rPr>
                <w:bCs/>
                <w:sz w:val="22"/>
              </w:rPr>
            </w:pPr>
            <w:r w:rsidRPr="00186209">
              <w:rPr>
                <w:bCs/>
                <w:sz w:val="22"/>
              </w:rPr>
              <w:t>15</w:t>
            </w:r>
          </w:p>
          <w:p w:rsidR="00186209" w:rsidRPr="00186209" w:rsidRDefault="00186209" w:rsidP="00C16588">
            <w:pPr>
              <w:jc w:val="center"/>
              <w:rPr>
                <w:bCs/>
                <w:sz w:val="22"/>
              </w:rPr>
            </w:pPr>
          </w:p>
          <w:p w:rsidR="00186209" w:rsidRPr="00186209" w:rsidRDefault="00186209" w:rsidP="00C16588">
            <w:pPr>
              <w:jc w:val="center"/>
              <w:rPr>
                <w:bCs/>
                <w:sz w:val="22"/>
              </w:rPr>
            </w:pPr>
            <w:r w:rsidRPr="00186209">
              <w:rPr>
                <w:bCs/>
                <w:sz w:val="22"/>
              </w:rPr>
              <w:t>15</w:t>
            </w:r>
          </w:p>
          <w:p w:rsidR="00186209" w:rsidRPr="00186209" w:rsidRDefault="00186209" w:rsidP="00C16588">
            <w:pPr>
              <w:jc w:val="center"/>
              <w:rPr>
                <w:bCs/>
                <w:sz w:val="22"/>
              </w:rPr>
            </w:pPr>
            <w:r w:rsidRPr="00186209">
              <w:rPr>
                <w:bCs/>
                <w:sz w:val="22"/>
              </w:rPr>
              <w:t>20</w:t>
            </w:r>
          </w:p>
          <w:p w:rsidR="00186209" w:rsidRPr="00186209" w:rsidRDefault="00186209" w:rsidP="00C16588">
            <w:pPr>
              <w:jc w:val="center"/>
              <w:rPr>
                <w:bCs/>
                <w:sz w:val="22"/>
              </w:rPr>
            </w:pPr>
          </w:p>
          <w:p w:rsidR="00186209" w:rsidRPr="00186209" w:rsidRDefault="00186209" w:rsidP="00C16588">
            <w:pPr>
              <w:jc w:val="center"/>
              <w:rPr>
                <w:bCs/>
                <w:sz w:val="22"/>
              </w:rPr>
            </w:pPr>
            <w:r w:rsidRPr="00186209">
              <w:rPr>
                <w:bCs/>
                <w:sz w:val="22"/>
              </w:rPr>
              <w:t>30</w:t>
            </w:r>
          </w:p>
          <w:p w:rsidR="00186209" w:rsidRPr="00186209" w:rsidRDefault="00186209" w:rsidP="00C16588">
            <w:pPr>
              <w:jc w:val="center"/>
              <w:rPr>
                <w:bCs/>
                <w:sz w:val="22"/>
              </w:rPr>
            </w:pPr>
          </w:p>
          <w:p w:rsidR="00186209" w:rsidRPr="00186209" w:rsidRDefault="00186209" w:rsidP="00C16588">
            <w:pPr>
              <w:jc w:val="center"/>
              <w:rPr>
                <w:bCs/>
                <w:sz w:val="22"/>
              </w:rPr>
            </w:pPr>
            <w:r w:rsidRPr="00186209">
              <w:rPr>
                <w:bCs/>
                <w:sz w:val="22"/>
              </w:rPr>
              <w:t>50</w:t>
            </w:r>
          </w:p>
          <w:p w:rsidR="00186209" w:rsidRPr="00186209" w:rsidRDefault="00186209" w:rsidP="00C16588">
            <w:pPr>
              <w:jc w:val="center"/>
              <w:rPr>
                <w:bCs/>
                <w:sz w:val="22"/>
              </w:rPr>
            </w:pPr>
          </w:p>
          <w:p w:rsidR="00186209" w:rsidRPr="00186209" w:rsidRDefault="00186209" w:rsidP="00C16588">
            <w:pPr>
              <w:jc w:val="center"/>
              <w:rPr>
                <w:bCs/>
                <w:sz w:val="22"/>
              </w:rPr>
            </w:pPr>
            <w:r w:rsidRPr="00186209">
              <w:rPr>
                <w:bCs/>
                <w:sz w:val="22"/>
              </w:rPr>
              <w:t>80</w:t>
            </w:r>
          </w:p>
        </w:tc>
      </w:tr>
      <w:tr w:rsidR="00186209" w:rsidRPr="00186209" w:rsidTr="00C16588">
        <w:trPr>
          <w:trHeight w:val="274"/>
        </w:trPr>
        <w:tc>
          <w:tcPr>
            <w:tcW w:w="5813"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jc w:val="both"/>
              <w:rPr>
                <w:bCs/>
                <w:sz w:val="22"/>
              </w:rPr>
            </w:pPr>
            <w:r w:rsidRPr="00186209">
              <w:rPr>
                <w:bCs/>
                <w:sz w:val="22"/>
              </w:rPr>
              <w:t>6. Самоходные машины и механизмы на пневматическом ходу с рабочим объемом двигателя (куб. см):</w:t>
            </w:r>
          </w:p>
          <w:p w:rsidR="00186209" w:rsidRPr="00186209" w:rsidRDefault="00186209" w:rsidP="00C16588">
            <w:pPr>
              <w:jc w:val="both"/>
              <w:rPr>
                <w:bCs/>
                <w:sz w:val="22"/>
              </w:rPr>
            </w:pPr>
            <w:r w:rsidRPr="00186209">
              <w:rPr>
                <w:bCs/>
                <w:sz w:val="22"/>
              </w:rPr>
              <w:t>а) до 2500 куб. см включительно;</w:t>
            </w:r>
          </w:p>
          <w:p w:rsidR="00186209" w:rsidRPr="00186209" w:rsidRDefault="00186209" w:rsidP="00C16588">
            <w:pPr>
              <w:jc w:val="both"/>
              <w:rPr>
                <w:bCs/>
                <w:sz w:val="22"/>
              </w:rPr>
            </w:pPr>
            <w:r w:rsidRPr="00186209">
              <w:rPr>
                <w:bCs/>
                <w:sz w:val="22"/>
              </w:rPr>
              <w:t>б) от 2501 до 5000 куб. см включительно;</w:t>
            </w:r>
          </w:p>
          <w:p w:rsidR="00186209" w:rsidRPr="00186209" w:rsidRDefault="00186209" w:rsidP="00C16588">
            <w:pPr>
              <w:jc w:val="both"/>
              <w:rPr>
                <w:bCs/>
                <w:sz w:val="22"/>
              </w:rPr>
            </w:pPr>
            <w:r w:rsidRPr="00186209">
              <w:rPr>
                <w:bCs/>
                <w:sz w:val="22"/>
              </w:rPr>
              <w:t>в) свыше 5000 куб. см</w:t>
            </w:r>
          </w:p>
        </w:tc>
        <w:tc>
          <w:tcPr>
            <w:tcW w:w="3260"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jc w:val="center"/>
              <w:rPr>
                <w:bCs/>
                <w:sz w:val="22"/>
              </w:rPr>
            </w:pPr>
          </w:p>
          <w:p w:rsidR="00186209" w:rsidRPr="00186209" w:rsidRDefault="00186209" w:rsidP="00C16588">
            <w:pPr>
              <w:jc w:val="center"/>
              <w:rPr>
                <w:bCs/>
                <w:sz w:val="22"/>
              </w:rPr>
            </w:pPr>
          </w:p>
          <w:p w:rsidR="00186209" w:rsidRPr="00186209" w:rsidRDefault="00186209" w:rsidP="00C16588">
            <w:pPr>
              <w:jc w:val="center"/>
              <w:rPr>
                <w:bCs/>
                <w:sz w:val="22"/>
              </w:rPr>
            </w:pPr>
          </w:p>
          <w:p w:rsidR="00186209" w:rsidRPr="00186209" w:rsidRDefault="00186209" w:rsidP="00C16588">
            <w:pPr>
              <w:jc w:val="center"/>
              <w:rPr>
                <w:bCs/>
                <w:sz w:val="22"/>
              </w:rPr>
            </w:pPr>
            <w:r w:rsidRPr="00186209">
              <w:rPr>
                <w:bCs/>
                <w:sz w:val="22"/>
              </w:rPr>
              <w:t>15</w:t>
            </w:r>
          </w:p>
          <w:p w:rsidR="00186209" w:rsidRPr="00186209" w:rsidRDefault="00186209" w:rsidP="00C16588">
            <w:pPr>
              <w:jc w:val="center"/>
              <w:rPr>
                <w:bCs/>
                <w:sz w:val="22"/>
              </w:rPr>
            </w:pPr>
            <w:r w:rsidRPr="00186209">
              <w:rPr>
                <w:bCs/>
                <w:sz w:val="22"/>
              </w:rPr>
              <w:t>30</w:t>
            </w:r>
          </w:p>
          <w:p w:rsidR="00186209" w:rsidRPr="00186209" w:rsidRDefault="00186209" w:rsidP="00C16588">
            <w:pPr>
              <w:jc w:val="center"/>
              <w:rPr>
                <w:bCs/>
                <w:sz w:val="22"/>
              </w:rPr>
            </w:pPr>
            <w:r w:rsidRPr="00186209">
              <w:rPr>
                <w:bCs/>
                <w:sz w:val="22"/>
              </w:rPr>
              <w:t>50</w:t>
            </w:r>
          </w:p>
        </w:tc>
      </w:tr>
      <w:tr w:rsidR="00186209" w:rsidRPr="00186209" w:rsidTr="00C16588">
        <w:trPr>
          <w:trHeight w:val="274"/>
        </w:trPr>
        <w:tc>
          <w:tcPr>
            <w:tcW w:w="5813"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jc w:val="both"/>
              <w:rPr>
                <w:bCs/>
                <w:sz w:val="22"/>
              </w:rPr>
            </w:pPr>
            <w:r w:rsidRPr="00186209">
              <w:rPr>
                <w:bCs/>
                <w:sz w:val="22"/>
              </w:rPr>
              <w:t xml:space="preserve">7. Самоходные машины и механизмы на </w:t>
            </w:r>
            <w:proofErr w:type="spellStart"/>
            <w:r w:rsidRPr="00186209">
              <w:rPr>
                <w:bCs/>
                <w:sz w:val="22"/>
              </w:rPr>
              <w:t>пневмоходу</w:t>
            </w:r>
            <w:proofErr w:type="spellEnd"/>
            <w:r w:rsidRPr="00186209">
              <w:rPr>
                <w:bCs/>
                <w:sz w:val="22"/>
              </w:rPr>
              <w:t xml:space="preserve"> и прицепные устройства к ним, используемые в сельскохозяйственном производстве</w:t>
            </w:r>
          </w:p>
        </w:tc>
        <w:tc>
          <w:tcPr>
            <w:tcW w:w="3260"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jc w:val="center"/>
              <w:rPr>
                <w:bCs/>
                <w:sz w:val="22"/>
              </w:rPr>
            </w:pPr>
          </w:p>
          <w:p w:rsidR="00186209" w:rsidRPr="00186209" w:rsidRDefault="00186209" w:rsidP="00C16588">
            <w:pPr>
              <w:jc w:val="center"/>
              <w:rPr>
                <w:bCs/>
                <w:sz w:val="22"/>
              </w:rPr>
            </w:pPr>
            <w:r w:rsidRPr="00186209">
              <w:rPr>
                <w:bCs/>
                <w:sz w:val="22"/>
              </w:rPr>
              <w:t>0</w:t>
            </w:r>
          </w:p>
        </w:tc>
      </w:tr>
    </w:tbl>
    <w:p w:rsidR="00186209" w:rsidRPr="00186209" w:rsidRDefault="00186209" w:rsidP="00186209"/>
    <w:p w:rsidR="00186209" w:rsidRPr="00186209" w:rsidRDefault="00186209" w:rsidP="00186209"/>
    <w:p w:rsidR="00186209" w:rsidRPr="00186209" w:rsidRDefault="00186209" w:rsidP="00186209"/>
    <w:p w:rsidR="00186209" w:rsidRPr="00186209" w:rsidRDefault="00186209" w:rsidP="00186209"/>
    <w:p w:rsidR="00186209" w:rsidRPr="00186209" w:rsidRDefault="00186209" w:rsidP="00186209">
      <w:pPr>
        <w:tabs>
          <w:tab w:val="left" w:pos="5812"/>
        </w:tabs>
        <w:ind w:left="4678" w:right="299" w:firstLine="142"/>
        <w:jc w:val="right"/>
        <w:rPr>
          <w:bCs/>
        </w:rPr>
      </w:pPr>
      <w:r w:rsidRPr="00186209">
        <w:rPr>
          <w:bCs/>
        </w:rPr>
        <w:lastRenderedPageBreak/>
        <w:t>Приложение № 2</w:t>
      </w:r>
    </w:p>
    <w:p w:rsidR="00186209" w:rsidRPr="00186209" w:rsidRDefault="00186209" w:rsidP="00186209">
      <w:pPr>
        <w:ind w:left="6237" w:right="299"/>
        <w:jc w:val="both"/>
        <w:rPr>
          <w:bCs/>
        </w:rPr>
      </w:pPr>
      <w:r w:rsidRPr="00186209">
        <w:rPr>
          <w:bCs/>
        </w:rPr>
        <w:t xml:space="preserve">к Закону Приднестровской Молдавской Республики </w:t>
      </w:r>
      <w:r w:rsidRPr="00186209">
        <w:rPr>
          <w:bCs/>
        </w:rPr>
        <w:br/>
        <w:t>«О Дорожном фонде Приднестровской Молдавской Республики»</w:t>
      </w:r>
    </w:p>
    <w:p w:rsidR="00186209" w:rsidRPr="00186209" w:rsidRDefault="00186209" w:rsidP="00186209">
      <w:pPr>
        <w:jc w:val="right"/>
      </w:pPr>
    </w:p>
    <w:p w:rsidR="00186209" w:rsidRPr="00186209" w:rsidRDefault="00186209" w:rsidP="00186209">
      <w:pPr>
        <w:rPr>
          <w:b/>
          <w:i/>
        </w:rPr>
      </w:pPr>
    </w:p>
    <w:p w:rsidR="00186209" w:rsidRPr="00186209" w:rsidRDefault="00186209" w:rsidP="00186209">
      <w:pPr>
        <w:jc w:val="center"/>
        <w:rPr>
          <w:b/>
          <w:color w:val="000000"/>
        </w:rPr>
      </w:pPr>
      <w:r w:rsidRPr="00186209">
        <w:rPr>
          <w:b/>
          <w:color w:val="000000"/>
        </w:rPr>
        <w:t>Ставки сбора</w:t>
      </w:r>
    </w:p>
    <w:p w:rsidR="00186209" w:rsidRPr="00186209" w:rsidRDefault="00186209" w:rsidP="00186209">
      <w:pPr>
        <w:jc w:val="center"/>
        <w:rPr>
          <w:b/>
          <w:color w:val="000000"/>
        </w:rPr>
      </w:pPr>
      <w:r w:rsidRPr="00186209">
        <w:rPr>
          <w:b/>
          <w:color w:val="000000"/>
        </w:rPr>
        <w:t>за въезд и проезд по автомобильным дорогам</w:t>
      </w:r>
    </w:p>
    <w:p w:rsidR="00186209" w:rsidRPr="00186209" w:rsidRDefault="00186209" w:rsidP="00186209">
      <w:pPr>
        <w:jc w:val="center"/>
        <w:rPr>
          <w:b/>
          <w:color w:val="000000"/>
        </w:rPr>
      </w:pPr>
      <w:r w:rsidRPr="00186209">
        <w:rPr>
          <w:b/>
          <w:color w:val="000000"/>
        </w:rPr>
        <w:t>Приднестровской Молдавской Республики</w:t>
      </w:r>
    </w:p>
    <w:p w:rsidR="00186209" w:rsidRPr="00186209" w:rsidRDefault="00186209" w:rsidP="00186209">
      <w:pPr>
        <w:jc w:val="center"/>
        <w:rPr>
          <w:b/>
          <w:color w:val="000000"/>
        </w:rPr>
      </w:pPr>
      <w:r w:rsidRPr="00186209">
        <w:rPr>
          <w:b/>
          <w:color w:val="000000"/>
        </w:rPr>
        <w:t>транспортных средств, не зарегистрированных</w:t>
      </w:r>
    </w:p>
    <w:p w:rsidR="00186209" w:rsidRPr="00186209" w:rsidRDefault="00186209" w:rsidP="00186209">
      <w:pPr>
        <w:jc w:val="center"/>
        <w:rPr>
          <w:b/>
          <w:color w:val="000000"/>
        </w:rPr>
      </w:pPr>
      <w:r w:rsidRPr="00186209">
        <w:rPr>
          <w:b/>
          <w:color w:val="000000"/>
        </w:rPr>
        <w:t>в Приднестровской Молдавской Республике</w:t>
      </w:r>
    </w:p>
    <w:p w:rsidR="00186209" w:rsidRPr="00186209" w:rsidRDefault="00186209" w:rsidP="00186209">
      <w:pPr>
        <w:rPr>
          <w:color w:val="00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2582"/>
        <w:gridCol w:w="2582"/>
      </w:tblGrid>
      <w:tr w:rsidR="00186209" w:rsidRPr="00186209" w:rsidTr="00C16588">
        <w:tc>
          <w:tcPr>
            <w:tcW w:w="4304" w:type="dxa"/>
            <w:vMerge w:val="restart"/>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b/>
                <w:color w:val="000000"/>
              </w:rPr>
            </w:pPr>
            <w:r w:rsidRPr="00186209">
              <w:rPr>
                <w:b/>
                <w:color w:val="000000"/>
              </w:rPr>
              <w:t>Объект, за который взимается сбор</w:t>
            </w:r>
          </w:p>
        </w:tc>
        <w:tc>
          <w:tcPr>
            <w:tcW w:w="5164" w:type="dxa"/>
            <w:gridSpan w:val="2"/>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b/>
                <w:color w:val="000000"/>
              </w:rPr>
            </w:pPr>
            <w:r w:rsidRPr="00186209">
              <w:rPr>
                <w:b/>
                <w:color w:val="000000"/>
              </w:rPr>
              <w:t>Ставки сбора в евро</w:t>
            </w:r>
          </w:p>
        </w:tc>
      </w:tr>
      <w:tr w:rsidR="00186209" w:rsidRPr="00186209" w:rsidTr="00C16588">
        <w:tc>
          <w:tcPr>
            <w:tcW w:w="0" w:type="auto"/>
            <w:vMerge/>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rPr>
                <w:b/>
                <w:color w:val="000000"/>
              </w:rPr>
            </w:pP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b/>
                <w:color w:val="000000"/>
              </w:rPr>
            </w:pPr>
            <w:r w:rsidRPr="00186209">
              <w:rPr>
                <w:b/>
                <w:color w:val="000000"/>
              </w:rPr>
              <w:t>за въезд на территорию республики</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b/>
                <w:color w:val="000000"/>
              </w:rPr>
            </w:pPr>
            <w:r w:rsidRPr="00186209">
              <w:rPr>
                <w:b/>
                <w:color w:val="000000"/>
              </w:rPr>
              <w:t>за каждый км пути в одном направлении</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1. Легковой автомобиль</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2. Прицеп к легковому автомобилю</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2</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3. Автобус вместимостью:</w:t>
            </w:r>
          </w:p>
        </w:tc>
        <w:tc>
          <w:tcPr>
            <w:tcW w:w="2582" w:type="dxa"/>
            <w:tcBorders>
              <w:top w:val="single" w:sz="4" w:space="0" w:color="auto"/>
              <w:left w:val="single" w:sz="4" w:space="0" w:color="auto"/>
              <w:bottom w:val="single" w:sz="4" w:space="0" w:color="auto"/>
              <w:right w:val="single" w:sz="4" w:space="0" w:color="auto"/>
            </w:tcBorders>
            <w:vAlign w:val="center"/>
          </w:tcPr>
          <w:p w:rsidR="00186209" w:rsidRPr="00186209" w:rsidRDefault="00186209" w:rsidP="00C16588">
            <w:pPr>
              <w:jc w:val="center"/>
              <w:rPr>
                <w:color w:val="000000"/>
              </w:rPr>
            </w:pPr>
          </w:p>
        </w:tc>
        <w:tc>
          <w:tcPr>
            <w:tcW w:w="2582" w:type="dxa"/>
            <w:tcBorders>
              <w:top w:val="single" w:sz="4" w:space="0" w:color="auto"/>
              <w:left w:val="single" w:sz="4" w:space="0" w:color="auto"/>
              <w:bottom w:val="single" w:sz="4" w:space="0" w:color="auto"/>
              <w:right w:val="single" w:sz="4" w:space="0" w:color="auto"/>
            </w:tcBorders>
            <w:vAlign w:val="center"/>
          </w:tcPr>
          <w:p w:rsidR="00186209" w:rsidRPr="00186209" w:rsidRDefault="00186209" w:rsidP="00C16588">
            <w:pPr>
              <w:jc w:val="center"/>
              <w:rPr>
                <w:color w:val="000000"/>
              </w:rPr>
            </w:pP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а) от 10 до 17 мест, включая место водителя</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20</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0,10</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б) от 18 до 24 мест, включая место водителя</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30</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0,15</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в) от 25 до 40 мест, включая место водителя</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40</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0,20</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г) свыше 40 мест, включая место водителя</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45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0,25</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4. Прицеп к автобусу</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0,05</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5. Грузовой автомобиль и седельный тягач с прицепом (прицепами) или полуприцепом и без них, прицеп или полуприцеп, автомобиль специального назначения* (без превышения допустимой весовой нагрузки на ось) полной массой (в том числе полной массой автопоезда):</w:t>
            </w:r>
          </w:p>
        </w:tc>
        <w:tc>
          <w:tcPr>
            <w:tcW w:w="2582" w:type="dxa"/>
            <w:tcBorders>
              <w:top w:val="single" w:sz="4" w:space="0" w:color="auto"/>
              <w:left w:val="single" w:sz="4" w:space="0" w:color="auto"/>
              <w:bottom w:val="single" w:sz="4" w:space="0" w:color="auto"/>
              <w:right w:val="single" w:sz="4" w:space="0" w:color="auto"/>
            </w:tcBorders>
            <w:vAlign w:val="center"/>
          </w:tcPr>
          <w:p w:rsidR="00186209" w:rsidRPr="00186209" w:rsidRDefault="00186209" w:rsidP="00C16588">
            <w:pPr>
              <w:jc w:val="center"/>
              <w:rPr>
                <w:color w:val="000000"/>
              </w:rPr>
            </w:pPr>
          </w:p>
        </w:tc>
        <w:tc>
          <w:tcPr>
            <w:tcW w:w="2582" w:type="dxa"/>
            <w:tcBorders>
              <w:top w:val="single" w:sz="4" w:space="0" w:color="auto"/>
              <w:left w:val="single" w:sz="4" w:space="0" w:color="auto"/>
              <w:bottom w:val="single" w:sz="4" w:space="0" w:color="auto"/>
              <w:right w:val="single" w:sz="4" w:space="0" w:color="auto"/>
            </w:tcBorders>
            <w:vAlign w:val="center"/>
          </w:tcPr>
          <w:p w:rsidR="00186209" w:rsidRPr="00186209" w:rsidRDefault="00186209" w:rsidP="00C16588">
            <w:pPr>
              <w:jc w:val="center"/>
              <w:rPr>
                <w:color w:val="000000"/>
              </w:rPr>
            </w:pP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а) до 5 тонн включительно</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10</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0,10</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б) от 5,01 до 10 тонн включительно</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0,15</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в) от 10,01 до 40 тонн включительно</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25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0,25</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6. Транспортное средство с превышением полной массы, допустимых весовых нагрузок на ось и габаритов:</w:t>
            </w:r>
          </w:p>
        </w:tc>
        <w:tc>
          <w:tcPr>
            <w:tcW w:w="2582"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rPr>
                <w:color w:val="000000"/>
              </w:rPr>
            </w:pPr>
          </w:p>
        </w:tc>
        <w:tc>
          <w:tcPr>
            <w:tcW w:w="2582"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rPr>
                <w:color w:val="000000"/>
              </w:rPr>
            </w:pP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а) за предварительное заключение и специальное разрешение</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45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 xml:space="preserve">б) за превышение общей массы </w:t>
            </w:r>
            <w:r w:rsidRPr="00186209">
              <w:rPr>
                <w:color w:val="000000"/>
              </w:rPr>
              <w:br/>
              <w:t>от 38 тонн (без превышения нагрузки на ось)</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0,05</w:t>
            </w:r>
          </w:p>
          <w:p w:rsidR="00186209" w:rsidRPr="00186209" w:rsidRDefault="00186209" w:rsidP="00C16588">
            <w:pPr>
              <w:jc w:val="center"/>
              <w:rPr>
                <w:color w:val="000000"/>
              </w:rPr>
            </w:pPr>
            <w:r w:rsidRPr="00186209">
              <w:rPr>
                <w:color w:val="000000"/>
              </w:rPr>
              <w:t>за каждую тонну брутто</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 xml:space="preserve">в) за превышение весовой нагрузки на ось: </w:t>
            </w:r>
          </w:p>
        </w:tc>
        <w:tc>
          <w:tcPr>
            <w:tcW w:w="2582"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rPr>
                <w:color w:val="000000"/>
              </w:rPr>
            </w:pPr>
          </w:p>
        </w:tc>
        <w:tc>
          <w:tcPr>
            <w:tcW w:w="2582" w:type="dxa"/>
            <w:tcBorders>
              <w:top w:val="single" w:sz="4" w:space="0" w:color="auto"/>
              <w:left w:val="single" w:sz="4" w:space="0" w:color="auto"/>
              <w:bottom w:val="single" w:sz="4" w:space="0" w:color="auto"/>
              <w:right w:val="single" w:sz="4" w:space="0" w:color="auto"/>
            </w:tcBorders>
          </w:tcPr>
          <w:p w:rsidR="00186209" w:rsidRPr="00186209" w:rsidRDefault="00186209" w:rsidP="00C16588">
            <w:pPr>
              <w:rPr>
                <w:color w:val="000000"/>
              </w:rPr>
            </w:pP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1) одиночную 10,1–12 тонн</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0,10</w:t>
            </w:r>
          </w:p>
          <w:p w:rsidR="00186209" w:rsidRPr="00186209" w:rsidRDefault="00186209" w:rsidP="00C16588">
            <w:pPr>
              <w:jc w:val="center"/>
              <w:rPr>
                <w:color w:val="000000"/>
              </w:rPr>
            </w:pPr>
            <w:r w:rsidRPr="00186209">
              <w:rPr>
                <w:color w:val="000000"/>
              </w:rPr>
              <w:lastRenderedPageBreak/>
              <w:t>за каждую тонну брутто</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strike/>
                <w:color w:val="FF0000"/>
              </w:rPr>
            </w:pPr>
            <w:r w:rsidRPr="00186209">
              <w:rPr>
                <w:color w:val="000000"/>
              </w:rPr>
              <w:lastRenderedPageBreak/>
              <w:t>2) одиночную свыше 12 тонн</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20</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0,20</w:t>
            </w:r>
          </w:p>
          <w:p w:rsidR="00186209" w:rsidRPr="00186209" w:rsidRDefault="00186209" w:rsidP="00C16588">
            <w:pPr>
              <w:jc w:val="center"/>
              <w:rPr>
                <w:color w:val="000000"/>
              </w:rPr>
            </w:pPr>
            <w:r w:rsidRPr="00186209">
              <w:rPr>
                <w:color w:val="000000"/>
              </w:rPr>
              <w:t>за каждую тонну брутто</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3) сдвоенную 16,1–18 тонн</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0,10</w:t>
            </w:r>
          </w:p>
          <w:p w:rsidR="00186209" w:rsidRPr="00186209" w:rsidRDefault="00186209" w:rsidP="00C16588">
            <w:pPr>
              <w:jc w:val="center"/>
              <w:rPr>
                <w:color w:val="000000"/>
              </w:rPr>
            </w:pPr>
            <w:r w:rsidRPr="00186209">
              <w:rPr>
                <w:color w:val="000000"/>
              </w:rPr>
              <w:t>за каждую тонну брутто</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strike/>
                <w:color w:val="00B050"/>
              </w:rPr>
            </w:pPr>
            <w:r w:rsidRPr="00186209">
              <w:rPr>
                <w:color w:val="000000"/>
              </w:rPr>
              <w:t>4) сдвоенную свыше 18 тонн</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20</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0,20</w:t>
            </w:r>
          </w:p>
          <w:p w:rsidR="00186209" w:rsidRPr="00186209" w:rsidRDefault="00186209" w:rsidP="00C16588">
            <w:pPr>
              <w:jc w:val="center"/>
              <w:rPr>
                <w:color w:val="000000"/>
              </w:rPr>
            </w:pPr>
            <w:r w:rsidRPr="00186209">
              <w:rPr>
                <w:color w:val="000000"/>
              </w:rPr>
              <w:t>за каждую тонну брутто</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5) строенную 22,1–24 тонны</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0,10</w:t>
            </w:r>
          </w:p>
          <w:p w:rsidR="00186209" w:rsidRPr="00186209" w:rsidRDefault="00186209" w:rsidP="00C16588">
            <w:pPr>
              <w:jc w:val="center"/>
              <w:rPr>
                <w:color w:val="000000"/>
              </w:rPr>
            </w:pPr>
            <w:r w:rsidRPr="00186209">
              <w:rPr>
                <w:color w:val="000000"/>
              </w:rPr>
              <w:t>за каждую тонну брутто</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strike/>
                <w:color w:val="00B050"/>
              </w:rPr>
            </w:pPr>
            <w:r w:rsidRPr="00186209">
              <w:rPr>
                <w:color w:val="000000"/>
              </w:rPr>
              <w:t>6) строенную свыше 24 тонн</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20</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0,20</w:t>
            </w:r>
          </w:p>
          <w:p w:rsidR="00186209" w:rsidRPr="00186209" w:rsidRDefault="00186209" w:rsidP="00C16588">
            <w:pPr>
              <w:jc w:val="center"/>
              <w:rPr>
                <w:color w:val="000000"/>
              </w:rPr>
            </w:pPr>
            <w:r w:rsidRPr="00186209">
              <w:rPr>
                <w:color w:val="000000"/>
              </w:rPr>
              <w:t>за каждую тонну брутто</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г) за превышение габаритов:</w:t>
            </w:r>
          </w:p>
        </w:tc>
        <w:tc>
          <w:tcPr>
            <w:tcW w:w="2582" w:type="dxa"/>
            <w:tcBorders>
              <w:top w:val="single" w:sz="4" w:space="0" w:color="auto"/>
              <w:left w:val="single" w:sz="4" w:space="0" w:color="auto"/>
              <w:bottom w:val="single" w:sz="4" w:space="0" w:color="auto"/>
              <w:right w:val="single" w:sz="4" w:space="0" w:color="auto"/>
            </w:tcBorders>
            <w:vAlign w:val="center"/>
          </w:tcPr>
          <w:p w:rsidR="00186209" w:rsidRPr="00186209" w:rsidRDefault="00186209" w:rsidP="00C16588">
            <w:pPr>
              <w:jc w:val="center"/>
              <w:rPr>
                <w:color w:val="000000"/>
              </w:rPr>
            </w:pPr>
          </w:p>
        </w:tc>
        <w:tc>
          <w:tcPr>
            <w:tcW w:w="2582" w:type="dxa"/>
            <w:tcBorders>
              <w:top w:val="single" w:sz="4" w:space="0" w:color="auto"/>
              <w:left w:val="single" w:sz="4" w:space="0" w:color="auto"/>
              <w:bottom w:val="single" w:sz="4" w:space="0" w:color="auto"/>
              <w:right w:val="single" w:sz="4" w:space="0" w:color="auto"/>
            </w:tcBorders>
            <w:vAlign w:val="center"/>
          </w:tcPr>
          <w:p w:rsidR="00186209" w:rsidRPr="00186209" w:rsidRDefault="00186209" w:rsidP="00C16588">
            <w:pPr>
              <w:jc w:val="center"/>
              <w:rPr>
                <w:color w:val="000000"/>
              </w:rPr>
            </w:pP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1) ширины и высоты</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0,01</w:t>
            </w:r>
          </w:p>
          <w:p w:rsidR="00186209" w:rsidRPr="00186209" w:rsidRDefault="00186209" w:rsidP="00C16588">
            <w:pPr>
              <w:jc w:val="center"/>
              <w:rPr>
                <w:color w:val="000000"/>
              </w:rPr>
            </w:pPr>
            <w:r w:rsidRPr="00186209">
              <w:rPr>
                <w:color w:val="000000"/>
              </w:rPr>
              <w:t>за каждый см превышения</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2) длины</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0,05</w:t>
            </w:r>
          </w:p>
          <w:p w:rsidR="00186209" w:rsidRPr="00186209" w:rsidRDefault="00186209" w:rsidP="00C16588">
            <w:pPr>
              <w:jc w:val="center"/>
              <w:rPr>
                <w:color w:val="000000"/>
              </w:rPr>
            </w:pPr>
            <w:r w:rsidRPr="00186209">
              <w:rPr>
                <w:color w:val="000000"/>
              </w:rPr>
              <w:t>за каждый метр превышения</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д) за сопровождение (при необходимости) автомобилем прикрытия</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0,3</w:t>
            </w:r>
          </w:p>
        </w:tc>
      </w:tr>
      <w:tr w:rsidR="00186209" w:rsidRPr="00186209" w:rsidTr="00C16588">
        <w:tc>
          <w:tcPr>
            <w:tcW w:w="4304" w:type="dxa"/>
            <w:tcBorders>
              <w:top w:val="single" w:sz="4" w:space="0" w:color="auto"/>
              <w:left w:val="single" w:sz="4" w:space="0" w:color="auto"/>
              <w:bottom w:val="single" w:sz="4" w:space="0" w:color="auto"/>
              <w:right w:val="single" w:sz="4" w:space="0" w:color="auto"/>
            </w:tcBorders>
            <w:hideMark/>
          </w:tcPr>
          <w:p w:rsidR="00186209" w:rsidRPr="00186209" w:rsidRDefault="00186209" w:rsidP="00C16588">
            <w:pPr>
              <w:rPr>
                <w:color w:val="000000"/>
              </w:rPr>
            </w:pPr>
            <w:r w:rsidRPr="00186209">
              <w:rPr>
                <w:color w:val="000000"/>
              </w:rPr>
              <w:t>е) за повторное взвешивание транспортного средства с грузом на таможне</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15</w:t>
            </w:r>
          </w:p>
        </w:tc>
        <w:tc>
          <w:tcPr>
            <w:tcW w:w="2582" w:type="dxa"/>
            <w:tcBorders>
              <w:top w:val="single" w:sz="4" w:space="0" w:color="auto"/>
              <w:left w:val="single" w:sz="4" w:space="0" w:color="auto"/>
              <w:bottom w:val="single" w:sz="4" w:space="0" w:color="auto"/>
              <w:right w:val="single" w:sz="4" w:space="0" w:color="auto"/>
            </w:tcBorders>
            <w:vAlign w:val="center"/>
            <w:hideMark/>
          </w:tcPr>
          <w:p w:rsidR="00186209" w:rsidRPr="00186209" w:rsidRDefault="00186209" w:rsidP="00C16588">
            <w:pPr>
              <w:jc w:val="center"/>
              <w:rPr>
                <w:color w:val="000000"/>
              </w:rPr>
            </w:pPr>
            <w:r w:rsidRPr="00186209">
              <w:rPr>
                <w:color w:val="000000"/>
              </w:rPr>
              <w:t>0</w:t>
            </w:r>
          </w:p>
        </w:tc>
      </w:tr>
    </w:tbl>
    <w:p w:rsidR="00186209" w:rsidRPr="00186209" w:rsidRDefault="00186209" w:rsidP="00186209">
      <w:pPr>
        <w:rPr>
          <w:color w:val="000000"/>
        </w:rPr>
      </w:pPr>
    </w:p>
    <w:p w:rsidR="00186209" w:rsidRPr="00186209" w:rsidRDefault="00186209" w:rsidP="00186209">
      <w:pPr>
        <w:ind w:firstLine="709"/>
        <w:rPr>
          <w:color w:val="000000"/>
        </w:rPr>
      </w:pPr>
      <w:r w:rsidRPr="00186209">
        <w:rPr>
          <w:color w:val="000000"/>
        </w:rPr>
        <w:t>Примечание:</w:t>
      </w:r>
    </w:p>
    <w:p w:rsidR="00186209" w:rsidRPr="00186209" w:rsidRDefault="00186209" w:rsidP="00186209">
      <w:pPr>
        <w:ind w:firstLine="709"/>
        <w:jc w:val="both"/>
        <w:rPr>
          <w:color w:val="000000"/>
        </w:rPr>
      </w:pPr>
      <w:r w:rsidRPr="00186209">
        <w:rPr>
          <w:color w:val="000000"/>
        </w:rPr>
        <w:t>1. Сбор уплачивается в рублях Приднестровской Молдавской Республики в безналичном порядке.</w:t>
      </w:r>
    </w:p>
    <w:p w:rsidR="00186209" w:rsidRPr="00186209" w:rsidRDefault="00186209" w:rsidP="00186209">
      <w:pPr>
        <w:ind w:firstLine="709"/>
        <w:jc w:val="both"/>
        <w:outlineLvl w:val="0"/>
        <w:rPr>
          <w:color w:val="000000"/>
        </w:rPr>
      </w:pPr>
      <w:r w:rsidRPr="00186209">
        <w:rPr>
          <w:color w:val="000000"/>
        </w:rPr>
        <w:t xml:space="preserve">Допускается уплата физическими лицами сбора в наличной форме </w:t>
      </w:r>
      <w:r w:rsidRPr="00186209">
        <w:rPr>
          <w:color w:val="000000"/>
        </w:rPr>
        <w:br/>
        <w:t>в рублях Приднестровской Молдавской Республики и (или) в следующей иностранной валюте: доллар США, евро, рубль Российской Федерации, молдавский лей, украинская гривна, румынский лей, в порядке, установленном Таможенным кодексом Приднестровской Молдавской Республики.</w:t>
      </w:r>
    </w:p>
    <w:p w:rsidR="00186209" w:rsidRPr="00186209" w:rsidRDefault="00186209" w:rsidP="00186209">
      <w:pPr>
        <w:ind w:firstLine="709"/>
        <w:jc w:val="both"/>
        <w:rPr>
          <w:color w:val="000000"/>
        </w:rPr>
      </w:pPr>
      <w:r w:rsidRPr="00186209">
        <w:rPr>
          <w:color w:val="000000"/>
        </w:rPr>
        <w:t>2. Пересчет иностранной валюты производится по официальному курсу иностранной валюты к рублю Приднестровской Молдавской Республики, установленному центральным банком Приднестровской Молдавской Республики на дату платежа, в порядке, установленном Таможенным кодексом Приднестровской Молдавской Республики.</w:t>
      </w:r>
    </w:p>
    <w:p w:rsidR="00186209" w:rsidRPr="00186209" w:rsidRDefault="00186209" w:rsidP="00186209">
      <w:pPr>
        <w:ind w:firstLine="709"/>
        <w:jc w:val="both"/>
        <w:rPr>
          <w:color w:val="000000"/>
        </w:rPr>
      </w:pPr>
      <w:r w:rsidRPr="00186209">
        <w:rPr>
          <w:color w:val="000000"/>
        </w:rPr>
        <w:t>3. Владельцы или пользователи транспортных средств с превышением полной массы, допустимых весовых нагрузок на ось или габаритов без специального разрешения и документов об уплате сбора за въезд на территорию и проезд по территории Приднестровской Молдавской Республики подвергаются штрафу в размере, установленном Кодексом Приднестровской Молдавской Республики об административных правонарушениях. Уплата штрафа не освобождает от уплаты соответствующего сбора.</w:t>
      </w:r>
    </w:p>
    <w:p w:rsidR="00186209" w:rsidRPr="00186209" w:rsidRDefault="00186209" w:rsidP="00186209">
      <w:pPr>
        <w:ind w:firstLine="709"/>
        <w:jc w:val="both"/>
        <w:rPr>
          <w:color w:val="000000"/>
        </w:rPr>
      </w:pPr>
      <w:r w:rsidRPr="00186209">
        <w:rPr>
          <w:color w:val="000000"/>
        </w:rPr>
        <w:t>4.* В случае, если объектом сбора будет являться седельный тягач без полуприцепа или автомобиль специального назначения – автокран, то вместо значения полной массы транспортного средства применять значение его снаряженной массы.</w:t>
      </w:r>
    </w:p>
    <w:p w:rsidR="007058B3" w:rsidRPr="002D2982" w:rsidRDefault="007058B3" w:rsidP="00186209">
      <w:pPr>
        <w:jc w:val="both"/>
      </w:pPr>
    </w:p>
    <w:sectPr w:rsidR="007058B3" w:rsidRPr="002D2982" w:rsidSect="00186209">
      <w:headerReference w:type="even" r:id="rId9"/>
      <w:headerReference w:type="default" r:id="rId10"/>
      <w:footerReference w:type="even" r:id="rId11"/>
      <w:footerReference w:type="default" r:id="rId12"/>
      <w:pgSz w:w="11906" w:h="16838"/>
      <w:pgMar w:top="568" w:right="566" w:bottom="53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074" w:rsidRDefault="00873074">
      <w:r>
        <w:separator/>
      </w:r>
    </w:p>
  </w:endnote>
  <w:endnote w:type="continuationSeparator" w:id="0">
    <w:p w:rsidR="00873074" w:rsidRDefault="0087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074" w:rsidRDefault="00873074" w:rsidP="008057DD">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73074" w:rsidRDefault="00873074" w:rsidP="008057D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074" w:rsidRDefault="00873074" w:rsidP="008057DD">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873074" w:rsidRDefault="00873074" w:rsidP="008057D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074" w:rsidRDefault="00873074">
      <w:r>
        <w:separator/>
      </w:r>
    </w:p>
  </w:footnote>
  <w:footnote w:type="continuationSeparator" w:id="0">
    <w:p w:rsidR="00873074" w:rsidRDefault="00873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074" w:rsidRDefault="00873074" w:rsidP="008057D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873074" w:rsidRDefault="00873074" w:rsidP="008057DD">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074" w:rsidRDefault="00873074" w:rsidP="008057DD">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DF4"/>
    <w:multiLevelType w:val="singleLevel"/>
    <w:tmpl w:val="5C8E0880"/>
    <w:lvl w:ilvl="0">
      <w:start w:val="7"/>
      <w:numFmt w:val="decimal"/>
      <w:lvlText w:val="%1."/>
      <w:legacy w:legacy="1" w:legacySpace="0" w:legacyIndent="215"/>
      <w:lvlJc w:val="left"/>
      <w:rPr>
        <w:rFonts w:ascii="Times New Roman" w:hAnsi="Times New Roman" w:cs="Times New Roman" w:hint="default"/>
      </w:rPr>
    </w:lvl>
  </w:abstractNum>
  <w:abstractNum w:abstractNumId="1" w15:restartNumberingAfterBreak="0">
    <w:nsid w:val="4C3D03E5"/>
    <w:multiLevelType w:val="hybridMultilevel"/>
    <w:tmpl w:val="BAE0BAAA"/>
    <w:lvl w:ilvl="0" w:tplc="821CE66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764C1A01"/>
    <w:multiLevelType w:val="hybridMultilevel"/>
    <w:tmpl w:val="894EF800"/>
    <w:lvl w:ilvl="0" w:tplc="9CA8635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DD"/>
    <w:rsid w:val="00015220"/>
    <w:rsid w:val="00030C1D"/>
    <w:rsid w:val="00034882"/>
    <w:rsid w:val="0004344E"/>
    <w:rsid w:val="00051D7F"/>
    <w:rsid w:val="00090AD0"/>
    <w:rsid w:val="000C632F"/>
    <w:rsid w:val="000E331C"/>
    <w:rsid w:val="000E5B90"/>
    <w:rsid w:val="000F6CBF"/>
    <w:rsid w:val="000F6CFA"/>
    <w:rsid w:val="00110309"/>
    <w:rsid w:val="00133E53"/>
    <w:rsid w:val="00141613"/>
    <w:rsid w:val="00141A96"/>
    <w:rsid w:val="00151795"/>
    <w:rsid w:val="00163104"/>
    <w:rsid w:val="00166124"/>
    <w:rsid w:val="00172A90"/>
    <w:rsid w:val="00175C1F"/>
    <w:rsid w:val="00186209"/>
    <w:rsid w:val="00194724"/>
    <w:rsid w:val="001C07D7"/>
    <w:rsid w:val="001D3227"/>
    <w:rsid w:val="001D4356"/>
    <w:rsid w:val="001D6FA6"/>
    <w:rsid w:val="001E2B3C"/>
    <w:rsid w:val="001F4BBC"/>
    <w:rsid w:val="0021488B"/>
    <w:rsid w:val="00215B26"/>
    <w:rsid w:val="0022771C"/>
    <w:rsid w:val="00231F07"/>
    <w:rsid w:val="0023708F"/>
    <w:rsid w:val="00274FAC"/>
    <w:rsid w:val="002D2982"/>
    <w:rsid w:val="002F1057"/>
    <w:rsid w:val="002F55D6"/>
    <w:rsid w:val="00311C72"/>
    <w:rsid w:val="00325A7E"/>
    <w:rsid w:val="0033409E"/>
    <w:rsid w:val="00337AA0"/>
    <w:rsid w:val="00356AC2"/>
    <w:rsid w:val="00367E6B"/>
    <w:rsid w:val="00371FF2"/>
    <w:rsid w:val="00397A5F"/>
    <w:rsid w:val="003A4F28"/>
    <w:rsid w:val="003E571B"/>
    <w:rsid w:val="004029E4"/>
    <w:rsid w:val="0042021C"/>
    <w:rsid w:val="00437966"/>
    <w:rsid w:val="00440034"/>
    <w:rsid w:val="00445EA1"/>
    <w:rsid w:val="00473603"/>
    <w:rsid w:val="00486C49"/>
    <w:rsid w:val="00492E91"/>
    <w:rsid w:val="004B09BA"/>
    <w:rsid w:val="004E202A"/>
    <w:rsid w:val="004E3066"/>
    <w:rsid w:val="00502AE2"/>
    <w:rsid w:val="00512BA0"/>
    <w:rsid w:val="0054201A"/>
    <w:rsid w:val="00552A44"/>
    <w:rsid w:val="00581355"/>
    <w:rsid w:val="005B4CB8"/>
    <w:rsid w:val="005C6D1A"/>
    <w:rsid w:val="005F4C45"/>
    <w:rsid w:val="00626D31"/>
    <w:rsid w:val="00654D85"/>
    <w:rsid w:val="00687F0C"/>
    <w:rsid w:val="00691983"/>
    <w:rsid w:val="006977C3"/>
    <w:rsid w:val="006A5F86"/>
    <w:rsid w:val="006A78D0"/>
    <w:rsid w:val="006C082A"/>
    <w:rsid w:val="006D61CC"/>
    <w:rsid w:val="006F2CDD"/>
    <w:rsid w:val="007037CD"/>
    <w:rsid w:val="007058B3"/>
    <w:rsid w:val="007154AC"/>
    <w:rsid w:val="00721C09"/>
    <w:rsid w:val="00726156"/>
    <w:rsid w:val="00733225"/>
    <w:rsid w:val="00741F7B"/>
    <w:rsid w:val="00742978"/>
    <w:rsid w:val="00756CF3"/>
    <w:rsid w:val="007570AB"/>
    <w:rsid w:val="00786C87"/>
    <w:rsid w:val="00786DD4"/>
    <w:rsid w:val="007B7851"/>
    <w:rsid w:val="007B7FFE"/>
    <w:rsid w:val="007C75D0"/>
    <w:rsid w:val="007E1A12"/>
    <w:rsid w:val="00800211"/>
    <w:rsid w:val="00804018"/>
    <w:rsid w:val="008057DD"/>
    <w:rsid w:val="008115FF"/>
    <w:rsid w:val="00815DCA"/>
    <w:rsid w:val="00824272"/>
    <w:rsid w:val="00845F59"/>
    <w:rsid w:val="00873074"/>
    <w:rsid w:val="00874C87"/>
    <w:rsid w:val="008B4112"/>
    <w:rsid w:val="008C4818"/>
    <w:rsid w:val="008F6209"/>
    <w:rsid w:val="008F6EF7"/>
    <w:rsid w:val="009107CE"/>
    <w:rsid w:val="009148D0"/>
    <w:rsid w:val="009152FB"/>
    <w:rsid w:val="00961C3F"/>
    <w:rsid w:val="00977FCA"/>
    <w:rsid w:val="00992B62"/>
    <w:rsid w:val="0099490F"/>
    <w:rsid w:val="009A0B87"/>
    <w:rsid w:val="009A35D1"/>
    <w:rsid w:val="009C0F13"/>
    <w:rsid w:val="009D4233"/>
    <w:rsid w:val="009D5C11"/>
    <w:rsid w:val="009E167E"/>
    <w:rsid w:val="009E4EA5"/>
    <w:rsid w:val="009F7861"/>
    <w:rsid w:val="00A032FB"/>
    <w:rsid w:val="00A07528"/>
    <w:rsid w:val="00A77405"/>
    <w:rsid w:val="00A9420B"/>
    <w:rsid w:val="00A95BE8"/>
    <w:rsid w:val="00A9765B"/>
    <w:rsid w:val="00AB0E92"/>
    <w:rsid w:val="00AD3485"/>
    <w:rsid w:val="00AF650B"/>
    <w:rsid w:val="00B21314"/>
    <w:rsid w:val="00B47845"/>
    <w:rsid w:val="00B947B1"/>
    <w:rsid w:val="00BB5C43"/>
    <w:rsid w:val="00BD624C"/>
    <w:rsid w:val="00BF0067"/>
    <w:rsid w:val="00BF78C8"/>
    <w:rsid w:val="00C036E3"/>
    <w:rsid w:val="00C2349D"/>
    <w:rsid w:val="00C41E93"/>
    <w:rsid w:val="00C474EB"/>
    <w:rsid w:val="00C71A4E"/>
    <w:rsid w:val="00C72655"/>
    <w:rsid w:val="00C74E59"/>
    <w:rsid w:val="00C76942"/>
    <w:rsid w:val="00C850E7"/>
    <w:rsid w:val="00CB535F"/>
    <w:rsid w:val="00CC19C7"/>
    <w:rsid w:val="00CE0DF7"/>
    <w:rsid w:val="00CE5256"/>
    <w:rsid w:val="00CE6993"/>
    <w:rsid w:val="00CF0331"/>
    <w:rsid w:val="00D00ED6"/>
    <w:rsid w:val="00D03F1E"/>
    <w:rsid w:val="00D20BD2"/>
    <w:rsid w:val="00D323D5"/>
    <w:rsid w:val="00D364A6"/>
    <w:rsid w:val="00D51580"/>
    <w:rsid w:val="00D57BDD"/>
    <w:rsid w:val="00D919A0"/>
    <w:rsid w:val="00D959B0"/>
    <w:rsid w:val="00DA1359"/>
    <w:rsid w:val="00DA37B1"/>
    <w:rsid w:val="00DA55A2"/>
    <w:rsid w:val="00DC1098"/>
    <w:rsid w:val="00DD4935"/>
    <w:rsid w:val="00DF0102"/>
    <w:rsid w:val="00DF2418"/>
    <w:rsid w:val="00DF25AB"/>
    <w:rsid w:val="00E14E20"/>
    <w:rsid w:val="00E20C91"/>
    <w:rsid w:val="00E35C53"/>
    <w:rsid w:val="00E6353C"/>
    <w:rsid w:val="00E64A86"/>
    <w:rsid w:val="00E72546"/>
    <w:rsid w:val="00E92318"/>
    <w:rsid w:val="00E9421C"/>
    <w:rsid w:val="00E953FE"/>
    <w:rsid w:val="00EA3669"/>
    <w:rsid w:val="00ED412E"/>
    <w:rsid w:val="00EF5CF8"/>
    <w:rsid w:val="00F113F8"/>
    <w:rsid w:val="00F135AF"/>
    <w:rsid w:val="00F14FF4"/>
    <w:rsid w:val="00F22524"/>
    <w:rsid w:val="00F478ED"/>
    <w:rsid w:val="00F66554"/>
    <w:rsid w:val="00F73645"/>
    <w:rsid w:val="00F8063C"/>
    <w:rsid w:val="00F82068"/>
    <w:rsid w:val="00F84222"/>
    <w:rsid w:val="00F84494"/>
    <w:rsid w:val="00FA7FDA"/>
    <w:rsid w:val="00FB2E07"/>
    <w:rsid w:val="00FB5805"/>
    <w:rsid w:val="00FF6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9A694"/>
  <w15:docId w15:val="{577E87DD-D588-452A-9F6C-4F1F3723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57DD"/>
    <w:rPr>
      <w:sz w:val="24"/>
      <w:szCs w:val="24"/>
    </w:rPr>
  </w:style>
  <w:style w:type="paragraph" w:styleId="3">
    <w:name w:val="heading 3"/>
    <w:basedOn w:val="a"/>
    <w:link w:val="30"/>
    <w:uiPriority w:val="9"/>
    <w:qFormat/>
    <w:rsid w:val="006A78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4"/>
    <w:rsid w:val="008057DD"/>
    <w:rPr>
      <w:rFonts w:ascii="Courier New" w:hAnsi="Courier New" w:cs="Courier New"/>
      <w:sz w:val="20"/>
      <w:szCs w:val="20"/>
    </w:rPr>
  </w:style>
  <w:style w:type="table" w:styleId="a5">
    <w:name w:val="Table Grid"/>
    <w:basedOn w:val="a1"/>
    <w:rsid w:val="0080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057DD"/>
    <w:pPr>
      <w:tabs>
        <w:tab w:val="center" w:pos="4677"/>
        <w:tab w:val="right" w:pos="9355"/>
      </w:tabs>
    </w:pPr>
  </w:style>
  <w:style w:type="character" w:styleId="a7">
    <w:name w:val="page number"/>
    <w:basedOn w:val="a0"/>
    <w:rsid w:val="008057DD"/>
  </w:style>
  <w:style w:type="paragraph" w:styleId="a8">
    <w:name w:val="footer"/>
    <w:basedOn w:val="a"/>
    <w:rsid w:val="008057DD"/>
    <w:pPr>
      <w:tabs>
        <w:tab w:val="center" w:pos="4677"/>
        <w:tab w:val="right" w:pos="9355"/>
      </w:tabs>
    </w:pPr>
  </w:style>
  <w:style w:type="paragraph" w:styleId="a9">
    <w:name w:val="Document Map"/>
    <w:basedOn w:val="a"/>
    <w:semiHidden/>
    <w:rsid w:val="00D51580"/>
    <w:pPr>
      <w:shd w:val="clear" w:color="auto" w:fill="000080"/>
    </w:pPr>
    <w:rPr>
      <w:rFonts w:ascii="Tahoma" w:hAnsi="Tahoma" w:cs="Tahoma"/>
      <w:sz w:val="20"/>
      <w:szCs w:val="20"/>
    </w:rPr>
  </w:style>
  <w:style w:type="paragraph" w:styleId="aa">
    <w:name w:val="Normal (Web)"/>
    <w:basedOn w:val="a"/>
    <w:uiPriority w:val="99"/>
    <w:unhideWhenUsed/>
    <w:rsid w:val="00742978"/>
    <w:pPr>
      <w:spacing w:before="100" w:beforeAutospacing="1" w:after="100" w:afterAutospacing="1"/>
    </w:pPr>
  </w:style>
  <w:style w:type="character" w:customStyle="1" w:styleId="a4">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3"/>
    <w:rsid w:val="00CE5256"/>
    <w:rPr>
      <w:rFonts w:ascii="Courier New" w:hAnsi="Courier New" w:cs="Courier New"/>
    </w:rPr>
  </w:style>
  <w:style w:type="character" w:styleId="ab">
    <w:name w:val="Hyperlink"/>
    <w:basedOn w:val="a0"/>
    <w:rsid w:val="007058B3"/>
    <w:rPr>
      <w:color w:val="0000FF"/>
      <w:u w:val="single"/>
    </w:rPr>
  </w:style>
  <w:style w:type="character" w:styleId="ac">
    <w:name w:val="Strong"/>
    <w:basedOn w:val="a0"/>
    <w:uiPriority w:val="22"/>
    <w:qFormat/>
    <w:rsid w:val="00DF0102"/>
    <w:rPr>
      <w:b/>
      <w:bCs/>
    </w:rPr>
  </w:style>
  <w:style w:type="table" w:customStyle="1" w:styleId="TableNormal">
    <w:name w:val="Table Normal"/>
    <w:uiPriority w:val="59"/>
    <w:rsid w:val="00F82068"/>
    <w:tblPr>
      <w:tblCellMar>
        <w:top w:w="0" w:type="dxa"/>
        <w:left w:w="108" w:type="dxa"/>
        <w:bottom w:w="0" w:type="dxa"/>
        <w:right w:w="108" w:type="dxa"/>
      </w:tblCellMar>
    </w:tblPr>
  </w:style>
  <w:style w:type="paragraph" w:customStyle="1" w:styleId="head">
    <w:name w:val="head"/>
    <w:basedOn w:val="a"/>
    <w:rsid w:val="00445EA1"/>
    <w:pPr>
      <w:spacing w:before="100" w:beforeAutospacing="1" w:after="100" w:afterAutospacing="1"/>
      <w:jc w:val="center"/>
    </w:pPr>
    <w:rPr>
      <w:sz w:val="28"/>
      <w:szCs w:val="20"/>
    </w:rPr>
  </w:style>
  <w:style w:type="paragraph" w:customStyle="1" w:styleId="Arial8">
    <w:name w:val="Стиль Arial 8 пт По левому краю"/>
    <w:basedOn w:val="a"/>
    <w:rsid w:val="00133E53"/>
    <w:rPr>
      <w:rFonts w:ascii="Arial" w:hAnsi="Arial"/>
      <w:sz w:val="16"/>
      <w:szCs w:val="20"/>
    </w:rPr>
  </w:style>
  <w:style w:type="character" w:styleId="ad">
    <w:name w:val="FollowedHyperlink"/>
    <w:basedOn w:val="a0"/>
    <w:semiHidden/>
    <w:unhideWhenUsed/>
    <w:rsid w:val="00C71A4E"/>
    <w:rPr>
      <w:color w:val="800080" w:themeColor="followedHyperlink"/>
      <w:u w:val="single"/>
    </w:rPr>
  </w:style>
  <w:style w:type="character" w:customStyle="1" w:styleId="30">
    <w:name w:val="Заголовок 3 Знак"/>
    <w:basedOn w:val="a0"/>
    <w:link w:val="3"/>
    <w:uiPriority w:val="9"/>
    <w:rsid w:val="006A78D0"/>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8344">
      <w:bodyDiv w:val="1"/>
      <w:marLeft w:val="0"/>
      <w:marRight w:val="0"/>
      <w:marTop w:val="0"/>
      <w:marBottom w:val="0"/>
      <w:divBdr>
        <w:top w:val="none" w:sz="0" w:space="0" w:color="auto"/>
        <w:left w:val="none" w:sz="0" w:space="0" w:color="auto"/>
        <w:bottom w:val="none" w:sz="0" w:space="0" w:color="auto"/>
        <w:right w:val="none" w:sz="0" w:space="0" w:color="auto"/>
      </w:divBdr>
    </w:div>
    <w:div w:id="225997764">
      <w:bodyDiv w:val="1"/>
      <w:marLeft w:val="0"/>
      <w:marRight w:val="0"/>
      <w:marTop w:val="0"/>
      <w:marBottom w:val="0"/>
      <w:divBdr>
        <w:top w:val="none" w:sz="0" w:space="0" w:color="auto"/>
        <w:left w:val="none" w:sz="0" w:space="0" w:color="auto"/>
        <w:bottom w:val="none" w:sz="0" w:space="0" w:color="auto"/>
        <w:right w:val="none" w:sz="0" w:space="0" w:color="auto"/>
      </w:divBdr>
    </w:div>
    <w:div w:id="257716336">
      <w:bodyDiv w:val="1"/>
      <w:marLeft w:val="0"/>
      <w:marRight w:val="0"/>
      <w:marTop w:val="0"/>
      <w:marBottom w:val="0"/>
      <w:divBdr>
        <w:top w:val="none" w:sz="0" w:space="0" w:color="auto"/>
        <w:left w:val="none" w:sz="0" w:space="0" w:color="auto"/>
        <w:bottom w:val="none" w:sz="0" w:space="0" w:color="auto"/>
        <w:right w:val="none" w:sz="0" w:space="0" w:color="auto"/>
      </w:divBdr>
    </w:div>
    <w:div w:id="515002010">
      <w:bodyDiv w:val="1"/>
      <w:marLeft w:val="0"/>
      <w:marRight w:val="0"/>
      <w:marTop w:val="0"/>
      <w:marBottom w:val="0"/>
      <w:divBdr>
        <w:top w:val="none" w:sz="0" w:space="0" w:color="auto"/>
        <w:left w:val="none" w:sz="0" w:space="0" w:color="auto"/>
        <w:bottom w:val="none" w:sz="0" w:space="0" w:color="auto"/>
        <w:right w:val="none" w:sz="0" w:space="0" w:color="auto"/>
      </w:divBdr>
      <w:divsChild>
        <w:div w:id="170266479">
          <w:marLeft w:val="0"/>
          <w:marRight w:val="0"/>
          <w:marTop w:val="0"/>
          <w:marBottom w:val="0"/>
          <w:divBdr>
            <w:top w:val="none" w:sz="0" w:space="0" w:color="auto"/>
            <w:left w:val="none" w:sz="0" w:space="0" w:color="auto"/>
            <w:bottom w:val="none" w:sz="0" w:space="0" w:color="auto"/>
            <w:right w:val="none" w:sz="0" w:space="0" w:color="auto"/>
          </w:divBdr>
          <w:divsChild>
            <w:div w:id="591092189">
              <w:marLeft w:val="0"/>
              <w:marRight w:val="0"/>
              <w:marTop w:val="0"/>
              <w:marBottom w:val="0"/>
              <w:divBdr>
                <w:top w:val="none" w:sz="0" w:space="0" w:color="auto"/>
                <w:left w:val="none" w:sz="0" w:space="0" w:color="auto"/>
                <w:bottom w:val="none" w:sz="0" w:space="0" w:color="auto"/>
                <w:right w:val="none" w:sz="0" w:space="0" w:color="auto"/>
              </w:divBdr>
              <w:divsChild>
                <w:div w:id="11281658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25309460">
          <w:marLeft w:val="0"/>
          <w:marRight w:val="0"/>
          <w:marTop w:val="0"/>
          <w:marBottom w:val="0"/>
          <w:divBdr>
            <w:top w:val="none" w:sz="0" w:space="0" w:color="auto"/>
            <w:left w:val="none" w:sz="0" w:space="0" w:color="auto"/>
            <w:bottom w:val="none" w:sz="0" w:space="0" w:color="auto"/>
            <w:right w:val="none" w:sz="0" w:space="0" w:color="auto"/>
          </w:divBdr>
          <w:divsChild>
            <w:div w:id="715198424">
              <w:marLeft w:val="0"/>
              <w:marRight w:val="0"/>
              <w:marTop w:val="0"/>
              <w:marBottom w:val="0"/>
              <w:divBdr>
                <w:top w:val="none" w:sz="0" w:space="0" w:color="auto"/>
                <w:left w:val="none" w:sz="0" w:space="0" w:color="auto"/>
                <w:bottom w:val="none" w:sz="0" w:space="0" w:color="auto"/>
                <w:right w:val="none" w:sz="0" w:space="0" w:color="auto"/>
              </w:divBdr>
              <w:divsChild>
                <w:div w:id="9094630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28260609">
      <w:bodyDiv w:val="1"/>
      <w:marLeft w:val="0"/>
      <w:marRight w:val="0"/>
      <w:marTop w:val="0"/>
      <w:marBottom w:val="0"/>
      <w:divBdr>
        <w:top w:val="none" w:sz="0" w:space="0" w:color="auto"/>
        <w:left w:val="none" w:sz="0" w:space="0" w:color="auto"/>
        <w:bottom w:val="none" w:sz="0" w:space="0" w:color="auto"/>
        <w:right w:val="none" w:sz="0" w:space="0" w:color="auto"/>
      </w:divBdr>
    </w:div>
    <w:div w:id="742029886">
      <w:bodyDiv w:val="1"/>
      <w:marLeft w:val="0"/>
      <w:marRight w:val="0"/>
      <w:marTop w:val="0"/>
      <w:marBottom w:val="0"/>
      <w:divBdr>
        <w:top w:val="none" w:sz="0" w:space="0" w:color="auto"/>
        <w:left w:val="none" w:sz="0" w:space="0" w:color="auto"/>
        <w:bottom w:val="none" w:sz="0" w:space="0" w:color="auto"/>
        <w:right w:val="none" w:sz="0" w:space="0" w:color="auto"/>
      </w:divBdr>
    </w:div>
    <w:div w:id="821583764">
      <w:bodyDiv w:val="1"/>
      <w:marLeft w:val="0"/>
      <w:marRight w:val="0"/>
      <w:marTop w:val="0"/>
      <w:marBottom w:val="0"/>
      <w:divBdr>
        <w:top w:val="none" w:sz="0" w:space="0" w:color="auto"/>
        <w:left w:val="none" w:sz="0" w:space="0" w:color="auto"/>
        <w:bottom w:val="none" w:sz="0" w:space="0" w:color="auto"/>
        <w:right w:val="none" w:sz="0" w:space="0" w:color="auto"/>
      </w:divBdr>
    </w:div>
    <w:div w:id="923992893">
      <w:bodyDiv w:val="1"/>
      <w:marLeft w:val="0"/>
      <w:marRight w:val="0"/>
      <w:marTop w:val="0"/>
      <w:marBottom w:val="0"/>
      <w:divBdr>
        <w:top w:val="none" w:sz="0" w:space="0" w:color="auto"/>
        <w:left w:val="none" w:sz="0" w:space="0" w:color="auto"/>
        <w:bottom w:val="none" w:sz="0" w:space="0" w:color="auto"/>
        <w:right w:val="none" w:sz="0" w:space="0" w:color="auto"/>
      </w:divBdr>
    </w:div>
    <w:div w:id="1095325774">
      <w:bodyDiv w:val="1"/>
      <w:marLeft w:val="0"/>
      <w:marRight w:val="0"/>
      <w:marTop w:val="0"/>
      <w:marBottom w:val="0"/>
      <w:divBdr>
        <w:top w:val="none" w:sz="0" w:space="0" w:color="auto"/>
        <w:left w:val="none" w:sz="0" w:space="0" w:color="auto"/>
        <w:bottom w:val="none" w:sz="0" w:space="0" w:color="auto"/>
        <w:right w:val="none" w:sz="0" w:space="0" w:color="auto"/>
      </w:divBdr>
    </w:div>
    <w:div w:id="1095902629">
      <w:bodyDiv w:val="1"/>
      <w:marLeft w:val="0"/>
      <w:marRight w:val="0"/>
      <w:marTop w:val="0"/>
      <w:marBottom w:val="0"/>
      <w:divBdr>
        <w:top w:val="none" w:sz="0" w:space="0" w:color="auto"/>
        <w:left w:val="none" w:sz="0" w:space="0" w:color="auto"/>
        <w:bottom w:val="none" w:sz="0" w:space="0" w:color="auto"/>
        <w:right w:val="none" w:sz="0" w:space="0" w:color="auto"/>
      </w:divBdr>
    </w:div>
    <w:div w:id="1119714659">
      <w:bodyDiv w:val="1"/>
      <w:marLeft w:val="0"/>
      <w:marRight w:val="0"/>
      <w:marTop w:val="0"/>
      <w:marBottom w:val="0"/>
      <w:divBdr>
        <w:top w:val="none" w:sz="0" w:space="0" w:color="auto"/>
        <w:left w:val="none" w:sz="0" w:space="0" w:color="auto"/>
        <w:bottom w:val="none" w:sz="0" w:space="0" w:color="auto"/>
        <w:right w:val="none" w:sz="0" w:space="0" w:color="auto"/>
      </w:divBdr>
    </w:div>
    <w:div w:id="1490292521">
      <w:bodyDiv w:val="1"/>
      <w:marLeft w:val="0"/>
      <w:marRight w:val="0"/>
      <w:marTop w:val="0"/>
      <w:marBottom w:val="0"/>
      <w:divBdr>
        <w:top w:val="none" w:sz="0" w:space="0" w:color="auto"/>
        <w:left w:val="none" w:sz="0" w:space="0" w:color="auto"/>
        <w:bottom w:val="none" w:sz="0" w:space="0" w:color="auto"/>
        <w:right w:val="none" w:sz="0" w:space="0" w:color="auto"/>
      </w:divBdr>
    </w:div>
    <w:div w:id="1512336236">
      <w:bodyDiv w:val="1"/>
      <w:marLeft w:val="0"/>
      <w:marRight w:val="0"/>
      <w:marTop w:val="0"/>
      <w:marBottom w:val="0"/>
      <w:divBdr>
        <w:top w:val="none" w:sz="0" w:space="0" w:color="auto"/>
        <w:left w:val="none" w:sz="0" w:space="0" w:color="auto"/>
        <w:bottom w:val="none" w:sz="0" w:space="0" w:color="auto"/>
        <w:right w:val="none" w:sz="0" w:space="0" w:color="auto"/>
      </w:divBdr>
    </w:div>
    <w:div w:id="18493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C3F9A-0A68-47CB-85D0-C3E100DE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8454</Words>
  <Characters>61853</Characters>
  <Application>Microsoft Office Word</Application>
  <DocSecurity>0</DocSecurity>
  <Lines>515</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70167</CharactersWithSpaces>
  <SharedDoc>false</SharedDoc>
  <HLinks>
    <vt:vector size="6" baseType="variant">
      <vt:variant>
        <vt:i4>4456475</vt:i4>
      </vt:variant>
      <vt:variant>
        <vt:i4>0</vt:i4>
      </vt:variant>
      <vt:variant>
        <vt:i4>0</vt:i4>
      </vt:variant>
      <vt:variant>
        <vt:i4>5</vt:i4>
      </vt:variant>
      <vt:variant>
        <vt:lpwstr>https://www.ulpmr.ru/ul/show/UeMgTgUthOzIjKyNdgPKcq2vL72vvxl7g9mc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ur7</dc:creator>
  <cp:keywords/>
  <cp:lastModifiedBy>Баженова Диана Сергеевна</cp:lastModifiedBy>
  <cp:revision>3</cp:revision>
  <cp:lastPrinted>2013-07-11T08:58:00Z</cp:lastPrinted>
  <dcterms:created xsi:type="dcterms:W3CDTF">2025-10-31T08:28:00Z</dcterms:created>
  <dcterms:modified xsi:type="dcterms:W3CDTF">2025-10-31T08:30:00Z</dcterms:modified>
</cp:coreProperties>
</file>