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"https://pravopmr.ru/View.aspx?id=OuH9xbSWIKQOr2HOuz6kQA%3d%3d"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4 на 14 мая 2007 г.)</w:t>
      </w:r>
    </w:p>
    <w:p>
      <w:pPr>
        <w:pStyle w:val="head"/>
        <w:rPr/>
      </w:pPr>
      <w:r>
        <w:rPr>
          <w:b w:val="true"/>
        </w:rPr>
        <w:t>ПРЕЗИДЕНТ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УКАЗ</w:t>
      </w:r>
    </w:p>
    <w:p>
      <w:pPr>
        <w:pStyle w:val="head"/>
        <w:rPr/>
      </w:pPr>
      <w:r>
        <w:rPr>
          <w:b w:val="true"/>
        </w:rPr>
        <w:t>от 7 марта 2006 г.</w:t>
      </w:r>
      <w:r>
        <w:br/>
      </w:r>
      <w:r>
        <w:rPr>
          <w:b w:val="true"/>
        </w:rPr>
        <w:t>№ 101</w:t>
      </w:r>
    </w:p>
    <w:p>
      <w:pPr>
        <w:pStyle w:val="head"/>
        <w:rPr/>
      </w:pPr>
      <w:r>
        <w:rPr>
          <w:b w:val="true"/>
        </w:rPr>
        <w:t>О порядке осуществления контроля за источниками финансирования общественных объединений и политических партий в Приднестровской Молдавской Республике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со статьей 72 Конституции Приднестровской Молдавской Республики, </w:t>
      </w:r>
      <w:r>
        <w:fldChar w:fldCharType="begin" w:fldLock="false" w:dirty="false"/>
      </w:r>
      <w:r>
        <w:rPr/>
        <w:instrText xml:space="preserve"> HYPERLINK "https://pravopmr.ru/View.aspx?id=7u2gkQ8RVQhaL2b6OMhvbA%3d%3d" \o "(УТРАТИЛ СИЛУ 25.08.2008) Об общественных объединениях" </w:instrText>
      </w:r>
      <w:r>
        <w:fldChar w:fldCharType="separate"/>
      </w:r>
      <w:r>
        <w:rPr>
          <w:sz w:val="24"/>
          <w:color w:val="0066CC"/>
          <w:rStyle w:val="Hyperlink"/>
        </w:rPr>
        <w:t>Законом Приднестровской Молдавской Республики от 28 января 2000 года № 240-З "Об общественных объединениях"</w:t>
      </w:r>
      <w:r>
        <w:fldChar w:fldCharType="end"/>
      </w:r>
      <w:r>
        <w:rPr>
          <w:sz w:val="24"/>
        </w:rPr>
        <w:t xml:space="preserve"> (СЗМР 2000-1) с изменениями и дополнениями, внесенными </w:t>
      </w:r>
      <w:r>
        <w:fldChar w:fldCharType="begin" w:fldLock="false" w:dirty="false"/>
      </w:r>
      <w:r>
        <w:rPr/>
        <w:instrText xml:space="preserve"> HYPERLINK "https://pravopmr.ru/View.aspx?id=89NGSX2A7B4d9qV8vk8HbQ%3d%3d" \o "(ВСТУПИЛ В СИЛУ 10.07.2002)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\"О лицензировании отдельных видов деятельности\"" </w:instrText>
      </w:r>
      <w:r>
        <w:fldChar w:fldCharType="separate"/>
      </w:r>
      <w:r>
        <w:rPr>
          <w:sz w:val="24"/>
          <w:color w:val="0066CC"/>
          <w:rStyle w:val="Hyperlink"/>
        </w:rPr>
        <w:t>Законами Приднестровской Молдавской Республики от 10 июля 2002 года № 152-ЗИД-III</w:t>
      </w:r>
      <w:r>
        <w:fldChar w:fldCharType="end"/>
      </w:r>
      <w:r>
        <w:rPr>
          <w:sz w:val="24"/>
        </w:rPr>
        <w:t xml:space="preserve"> (САЗ 02-28), </w:t>
      </w:r>
      <w:r>
        <w:fldChar w:fldCharType="begin" w:fldLock="false" w:dirty="false"/>
      </w:r>
      <w:r>
        <w:rPr/>
        <w:instrText xml:space="preserve"> HYPERLINK "https://pravopmr.ru/View.aspx?id=ObwnZrCzuEvg9D2xy2mRWg%3d%3d" \o "(УТРАТИЛ СИЛУ 25.08.2008) О внесении изменений и дополнений в Закон Приднестровской Молдавской Республики \"Об общественных объединениях\" и Закон Приднестровской Молдавской Республики \"О политических партиях\"" </w:instrText>
      </w:r>
      <w:r>
        <w:fldChar w:fldCharType="separate"/>
      </w:r>
      <w:r>
        <w:rPr>
          <w:sz w:val="24"/>
          <w:color w:val="0066CC"/>
          <w:rStyle w:val="Hyperlink"/>
        </w:rPr>
        <w:t>от 30 мая 2006 года № 35-ЗИД-IV</w:t>
      </w:r>
      <w:r>
        <w:fldChar w:fldCharType="end"/>
      </w:r>
      <w:r>
        <w:rPr>
          <w:sz w:val="24"/>
        </w:rPr>
        <w:t xml:space="preserve"> (САЗ 06-23) и</w:t>
      </w:r>
      <w:r>
        <w:fldChar w:fldCharType="begin" w:fldLock="false" w:dirty="false"/>
      </w:r>
      <w:r>
        <w:rPr/>
        <w:instrText xml:space="preserve"> HYPERLINK "https://pravopmr.ru/View.aspx?id=N7zcJk9kl3voWvaqj3YcUA%3d%3d" \o "(УТРАТИЛ СИЛУ 25.08.2008) О внесении дополнения в Закон Приднестровской Молдавской Республики \"Об общественных объединениях\"" </w:instrText>
      </w:r>
      <w:r>
        <w:fldChar w:fldCharType="separate"/>
      </w:r>
      <w:r>
        <w:rPr>
          <w:sz w:val="24"/>
          <w:color w:val="0066CC"/>
          <w:rStyle w:val="Hyperlink"/>
        </w:rPr>
        <w:t>от 25 июля 2006 года № 58-ЗД-IV</w:t>
      </w:r>
      <w:r>
        <w:fldChar w:fldCharType="end"/>
      </w:r>
      <w:r>
        <w:rPr>
          <w:sz w:val="24"/>
        </w:rPr>
        <w:t xml:space="preserve"> (САЗ 06-31), </w:t>
      </w:r>
      <w:r>
        <w:fldChar w:fldCharType="begin" w:fldLock="false" w:dirty="false"/>
      </w:r>
      <w:r>
        <w:rPr/>
        <w:instrText xml:space="preserve"> HYPERLINK "https://pravopmr.ru/View.aspx?id=roTjiYEgasnZ7PEnF0S0jw%3d%3d" \o "(ВСТУПИЛ В СИЛУ 28.01.2000) О политических партиях" </w:instrText>
      </w:r>
      <w:r>
        <w:fldChar w:fldCharType="separate"/>
      </w:r>
      <w:r>
        <w:rPr>
          <w:sz w:val="24"/>
          <w:color w:val="0066CC"/>
          <w:rStyle w:val="Hyperlink"/>
        </w:rPr>
        <w:t>Законом Приднестровской Молдавской Республики от 28 января 2000 года № 239-З "О политических партиях"</w:t>
      </w:r>
      <w:r>
        <w:fldChar w:fldCharType="end"/>
      </w:r>
      <w:r>
        <w:rPr>
          <w:sz w:val="24"/>
        </w:rPr>
        <w:t xml:space="preserve">  (СЗМР 00-1) с изменениями и дополнениями, внесенными </w:t>
      </w:r>
      <w:r>
        <w:fldChar w:fldCharType="begin" w:fldLock="false" w:dirty="false"/>
      </w:r>
      <w:r>
        <w:rPr/>
        <w:instrText xml:space="preserve"> HYPERLINK "https://pravopmr.ru/View.aspx?id=ObwnZrCzuEvg9D2xy2mRWg%3d%3d" \o "(УТРАТИЛ СИЛУ 25.08.2008) О внесении изменений и дополнений в Закон Приднестровской Молдавской Республики \"Об общественных объединениях\" и Закон Приднестровской Молдавской Республики \"О политических партиях\"" </w:instrText>
      </w:r>
      <w:r>
        <w:fldChar w:fldCharType="separate"/>
      </w:r>
      <w:r>
        <w:rPr>
          <w:sz w:val="24"/>
          <w:color w:val="0066CC"/>
          <w:rStyle w:val="Hyperlink"/>
        </w:rPr>
        <w:t>Законом Приднестровской Молдавской Республики от 30 мая 2006 года № 35-ЗИ-IV</w:t>
      </w:r>
      <w:r>
        <w:fldChar w:fldCharType="end"/>
      </w:r>
      <w:r>
        <w:rPr>
          <w:sz w:val="24"/>
        </w:rPr>
        <w:t xml:space="preserve"> (САЗ 06-23), </w:t>
      </w:r>
      <w:r>
        <w:fldChar w:fldCharType="begin" w:fldLock="false" w:dirty="false"/>
      </w:r>
      <w:r>
        <w:rPr/>
        <w:instrText xml:space="preserve"> HYPERLINK "https://pravopmr.ru/View.aspx?id=%2f5nX%2fd5hNxK2KMt0pVVieA%3d%3d" \o "(ВСТУПИЛ В СИЛУ 22.11.2006) О внесении изменений и дополнений в Закон Приднестровской Молдавской Республики \"О политических партиях\"" </w:instrText>
      </w:r>
      <w:r>
        <w:fldChar w:fldCharType="separate"/>
      </w:r>
      <w:r>
        <w:rPr>
          <w:sz w:val="24"/>
          <w:color w:val="0066CC"/>
          <w:rStyle w:val="Hyperlink"/>
        </w:rPr>
        <w:t>от 22 ноября 2006 года № 122-ЗИД-IV</w:t>
      </w:r>
      <w:r>
        <w:fldChar w:fldCharType="end"/>
      </w:r>
      <w:r>
        <w:rPr>
          <w:sz w:val="24"/>
        </w:rPr>
        <w:t xml:space="preserve"> (САЗ 06-48), в целях установления надлежащего контроля за источниками финансирования общественных объединений и политических партий в Приднестровской Молдавской Республике постановляю: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Запретить общественным объединениям, уставы которых предусматривают участие в избирательных кампаниях в соответствии с действующим законодательством Приднестровской Молдавской Республики, их филиалам и представительствам, политическим партиям, их учреждениям и организациям, зарегистрированным в Приднестровской Молдавской Республике, получать денежные средства и другое имущество от: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иностранных государств и организаций;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иностранных граждан;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лиц без гражданства;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международных организаций и международных движений, их филиалов и представительств;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анонимных источников. Под анонимным источником понимается физическое лицо, не указавшее в платежном документе на внесение денежных средств любое из следующих сведений: фамилию, имя и отчество, адрес места жительства, или указавшее недостоверные сведения, либо юридическое лицо, о котором в платежном документе на внесение денежных средств не указано любое из следующих сведений: наименование, фискальный код, банковские реквизиты, или указаны недостоверные сведения.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Денежные средства и другое имущество, полученные общественными объединениями, их филиалами и представительствами, политическими партиями, их учреждениями и организациями, в порядке, не соответствующем требованиям пункта 1 настоящего Указа, подлежат зачислению в доход государства по решению суда.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Уполномочить Министерство финансов Приднестровской Молдавской Республики осуществлять контроль за источниками финансирования общественных объединений, их филиалов и представительств, политических партий, их учреждений и организаций, а также обращаться в суд с иском о взыскании денежных средств и иного имущества, полученного общественными объединениями, их филиалами и представительствами, политическими партиями, их учреждениями и организациями с нарушением пункта 1 настоящего Указа.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Исполнительным органам государственной власти и Приднестровскому республиканскому банку обеспечить направление в Министерство финансов Приднестровской Молдавской Республики информации о выявляемых фактах получения общественными объединениями, их филиалами и представительствами, политическими партиями, их учреждениями и организациями денежных средств и иного имущества из источников, установленных пунктом 1 настоящего Указа, с приложением подтверждающих документов.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Установить, что в случае выявления фактов получения общественными объединениями, уставы которых предусматривают участие в избирательных кампаниях в соответствии с действующим законодательством Приднестровской Молдавской Республики, их филиалам и представительствам, политическими партиями, их учреждениями и организациями, денежных средств и другого имущества из источников, указанных в пункте 1 настоящего Указа, Министерство финансов Приднестровской Молдавской Республики информирует об этом Министерство юстиции Приднестровской Молдавской Республики и Прокуратуру Приднестровской Молдавской Республики, которые принимают в отношении вышеуказанных организаций меры, предусмотренные действующим законодательством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Настоящий Указ вступает в силу со дня официального опубликования.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ПРЕЗИДЕНТ И.СМИРНОВ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7 марта 2006 г.</w:t>
      </w:r>
      <w:r>
        <w:br/>
      </w:r>
      <w:r>
        <w:rPr>
          <w:sz w:val="24"/>
        </w:rPr>
        <w:t>№ 101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