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84C9A" w14:textId="77777777" w:rsidR="008003C1" w:rsidRPr="00000E0E" w:rsidRDefault="008003C1" w:rsidP="008003C1">
      <w:pPr>
        <w:ind w:firstLine="709"/>
        <w:jc w:val="right"/>
      </w:pPr>
      <w:bookmarkStart w:id="0" w:name="_GoBack"/>
      <w:bookmarkEnd w:id="0"/>
      <w:r w:rsidRPr="008D0067">
        <w:rPr>
          <w:sz w:val="28"/>
          <w:szCs w:val="28"/>
        </w:rPr>
        <w:t>Проект</w:t>
      </w:r>
    </w:p>
    <w:p w14:paraId="799F8B48" w14:textId="77777777" w:rsidR="008003C1" w:rsidRPr="00000E0E" w:rsidRDefault="008003C1" w:rsidP="008003C1">
      <w:pPr>
        <w:ind w:firstLine="709"/>
        <w:jc w:val="center"/>
      </w:pPr>
    </w:p>
    <w:p w14:paraId="78AF331A" w14:textId="77777777" w:rsidR="008003C1" w:rsidRDefault="008003C1" w:rsidP="008003C1">
      <w:pPr>
        <w:jc w:val="center"/>
      </w:pPr>
      <w:r w:rsidRPr="00000E0E">
        <w:t xml:space="preserve">ЗАКОН </w:t>
      </w:r>
    </w:p>
    <w:p w14:paraId="744866A7" w14:textId="77777777" w:rsidR="008003C1" w:rsidRDefault="008003C1" w:rsidP="008003C1">
      <w:pPr>
        <w:jc w:val="center"/>
      </w:pPr>
      <w:r w:rsidRPr="00000E0E">
        <w:t xml:space="preserve">ПРИДНЕСТРОВСКОЙ МОЛДАВСКОЙ РЕСПУБЛИКИ </w:t>
      </w:r>
    </w:p>
    <w:p w14:paraId="1896F866" w14:textId="77777777" w:rsidR="008003C1" w:rsidRPr="008D0067" w:rsidRDefault="008003C1" w:rsidP="008003C1">
      <w:pPr>
        <w:jc w:val="center"/>
        <w:rPr>
          <w:strike/>
          <w:color w:val="FF0000"/>
          <w:sz w:val="28"/>
          <w:szCs w:val="28"/>
        </w:rPr>
      </w:pPr>
    </w:p>
    <w:p w14:paraId="72C431E6" w14:textId="77777777" w:rsidR="008003C1" w:rsidRPr="008D0067" w:rsidRDefault="008003C1" w:rsidP="008003C1">
      <w:pPr>
        <w:jc w:val="center"/>
        <w:rPr>
          <w:sz w:val="28"/>
          <w:szCs w:val="28"/>
        </w:rPr>
      </w:pPr>
      <w:r w:rsidRPr="008D0067">
        <w:rPr>
          <w:sz w:val="28"/>
          <w:szCs w:val="28"/>
        </w:rPr>
        <w:t xml:space="preserve">О внесении дополнения </w:t>
      </w:r>
      <w:r w:rsidRPr="008D0067">
        <w:rPr>
          <w:sz w:val="28"/>
          <w:szCs w:val="28"/>
        </w:rPr>
        <w:br/>
        <w:t xml:space="preserve">в Закон Приднестровской Молдавской Республики </w:t>
      </w:r>
      <w:r w:rsidRPr="008D0067">
        <w:rPr>
          <w:sz w:val="28"/>
          <w:szCs w:val="28"/>
        </w:rPr>
        <w:br/>
        <w:t>«О государственной пошлине»</w:t>
      </w:r>
    </w:p>
    <w:p w14:paraId="6BBB4461" w14:textId="77777777" w:rsidR="008003C1" w:rsidRPr="008D0067" w:rsidRDefault="008003C1" w:rsidP="008003C1">
      <w:pPr>
        <w:ind w:firstLine="709"/>
        <w:jc w:val="both"/>
        <w:rPr>
          <w:sz w:val="28"/>
          <w:szCs w:val="28"/>
        </w:rPr>
      </w:pPr>
    </w:p>
    <w:p w14:paraId="0A3B38F3" w14:textId="77777777" w:rsidR="008003C1" w:rsidRPr="008D0067" w:rsidRDefault="008003C1" w:rsidP="008003C1">
      <w:pPr>
        <w:ind w:firstLine="709"/>
        <w:jc w:val="both"/>
        <w:rPr>
          <w:sz w:val="28"/>
          <w:szCs w:val="28"/>
        </w:rPr>
      </w:pPr>
      <w:r w:rsidRPr="008D0067">
        <w:rPr>
          <w:sz w:val="28"/>
          <w:szCs w:val="28"/>
        </w:rPr>
        <w:t xml:space="preserve">Статья 1. Внести в Закон Приднестровской Молдавской Республики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 xml:space="preserve">от 30 сентября 2000 года № 345-ЗИД </w:t>
      </w:r>
      <w:r>
        <w:rPr>
          <w:sz w:val="28"/>
          <w:szCs w:val="28"/>
        </w:rPr>
        <w:t>«</w:t>
      </w:r>
      <w:r w:rsidRPr="008D0067">
        <w:rPr>
          <w:sz w:val="28"/>
          <w:szCs w:val="28"/>
        </w:rPr>
        <w:t>О государственной пошлине</w:t>
      </w:r>
      <w:r>
        <w:rPr>
          <w:sz w:val="28"/>
          <w:szCs w:val="28"/>
        </w:rPr>
        <w:t>»</w:t>
      </w:r>
      <w:r w:rsidRPr="008D00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 xml:space="preserve">(СЗМР 00-3) с изменениями и дополнениями, внесенными законами Приднестровской Молдавской Республики от 20 ноября 2001 года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№ 67-ЗИД-III (САЗ 01-48)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10 июля 2002 года № 154-ЗИД-III (САЗ 02-28)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от 23 июля 2002 года № 167-ЗИ-III (САЗ 02-30)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31 июля 2003 года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№ 320-ЗИД-III (САЗ 03-31)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28 ноября 2003 года № 364-ЗИ-III (САЗ 03-48)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26 июля 2005 года № 601-ЗИ-III (САЗ 05-31)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3 ноября 2005 года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№ 658-ЗИД-III (САЗ 05-45)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16 ноября 2005 года № 664-ЗД-III (САЗ 05-47)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22 января 2007 года № 168-ЗИ-IV (САЗ 07-5)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12 июня 2007 года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№ 223-ЗИД-IV (САЗ 07-25)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20 июня 2007 года № 229-ЗИ-IV (САЗ 07-26)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от 3 июля 2007 года № 249-ЗД-IV (САЗ 07-28)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2 августа 2007 года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№ 273-ЗИД-IV (САЗ 07-32)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27 сентября 2007 года № 319-ЗИД-IV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(САЗ 07-40)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8 июля 2008 года № 486-ЗИД-IV (САЗ 08-27)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31 июля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2008 года № 517-ЗД-IV (САЗ 08-30)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26 сентября 2008 года № 548-ЗИД-IV (САЗ 08-38)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26 сентября 2008 года № 556-ЗИД-IV (САЗ 08-38)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1 октября 2009 года № 877-ЗИД-IV (САЗ 09-40)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19 октября 2009 года № 886-ЗИД-IV (САЗ 09-43)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14 декабря 2009 года № 915-ЗД-IV (САЗ 09-51)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8 февраля 2010 года № 19-ЗД-IV (САЗ 10-6)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22 июля 2010 года № 141-ЗД-IV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(САЗ 10-29)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29 сентября 2010 года № 178-ЗИД-IV (САЗ 10-39)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8 декабря 2010 года № 244-ЗИ-IV (САЗ 10-49)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10 декабря 2010 года № 262-ЗИ-IV (САЗ 10-49)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29 декабря 2011 года № 263-ЗИД-V (САЗ 12-1,1)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27 февраля 2012 года № 17-ЗИ-V (САЗ 12-10)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5 марта 2012 года № 23-ЗИД-V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(САЗ 12-11)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16 октября 2012 года № 195-ЗИ-V (САЗ 12-43)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22 января 2013 года № 22-ЗД-V (САЗ 13-3)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11 марта 2013 года № 52-ЗИ-V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(САЗ 13-10)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28 сентября 2013 года № 197-ЗИД-V (САЗ 13-38,1)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от 19 ноября 2013 года № 231-ЗД-V (САЗ 13-46)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16 января 2014 года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№ 9-ЗИД-V (САЗ 14-3)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17 апреля 2014 года № 84-ЗД-V (САЗ 14-16)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от 7 мая 2014 года № 98-ЗИД-V (САЗ 14-19)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31 октября 2014 года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№ 168-ЗИ-V (САЗ 14-44)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15 января 2015 года № 12-ЗД-V (САЗ 15-3)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от 12 февраля 2016 года № 9-ЗИ-VI (САЗ 16-6)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19 июня 2017 года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№ 177-ЗИ-VI (САЗ 17-25)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19 июля 2017 года № 225-ЗД-VI (САЗ 17-30)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от 16 ноября 2017 года № 319-ЗИ-VI (САЗ 17-47)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24 ноября 2017 года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№ 334-ЗД-VI (САЗ 17-48)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18 декабря 2017 года № 368-ЗИ-VI (САЗ 17-52)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от 28 декабря 2017 года № 391-ЗД-VI (САЗ 18-1,1)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10 января 2018 года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№ 2-ЗИ-VI (САЗ 18-2)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1 марта 2018 года № 54-ЗД-VI (САЗ 18-9)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lastRenderedPageBreak/>
        <w:t>от 10 января 2019 года № 5-ЗД-VI (САЗ 19-1)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10 января 2019 года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№ 7-ЗИ-VI (САЗ 19-1)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12 марта 2019 года № 20-ЗД-VI (САЗ 19-10)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от 5 апреля 2019 года № 46-ЗИД-VI (САЗ 19-13)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5 апреля 2019 года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№ 47-ЗИ-VI (САЗ 19-13)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8 апреля 2019 года № 58-ЗИ-VI (САЗ 19-14)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от 11 июля 2019 года № 130-ЗИ-VI (САЗ 19-26)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23 июля 2019 года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№ 145-ЗИ-VI (САЗ 19-28)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31 июля 2019 года № 162-ЗИД-VI (САЗ 19-29)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от 18 ноября 2019 года № 205-ЗД-VI (САЗ 19-45)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18 ноября 2019 года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№ 206-ЗИ-VI (САЗ 19-45)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20 января 2020 года № 5-ЗИ-VI (САЗ 20-4)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от 14 февраля 2020 года № 23-ЗИД-VI (САЗ 20-7)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12 мая 2021 года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№ 89-ЗИ-VII (САЗ 21-19)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22 июля 2021 года № 182-ЗИД-VII (САЗ 21-29)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от 27 сентября 2021 года № 221-ЗД-VII (САЗ 21-39,1)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15 октября 2021 года № 242-ЗИ-VII (САЗ 21-41)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19 октября 2021 года № 251-ЗД-VII (САЗ 21-42)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3 декабря 2021 года № 316-ЗИД-VII (САЗ 21-48)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10 января 2022 года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№ 7-ЗИ-VII (САЗ 22-1)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от 28 марта 2022 года № 44-ЗД-VII (САЗ 22-12)</w:t>
      </w:r>
      <w:r>
        <w:rPr>
          <w:sz w:val="28"/>
          <w:szCs w:val="28"/>
        </w:rPr>
        <w:t>,</w:t>
      </w:r>
      <w:r w:rsidRPr="008D00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 xml:space="preserve">от 13 апреля 2022 года № 58-ЗИ-VII (САЗ 22-14), от 6 мая 2022 года </w:t>
      </w:r>
      <w:r w:rsidRPr="008D0067">
        <w:rPr>
          <w:sz w:val="28"/>
          <w:szCs w:val="28"/>
        </w:rPr>
        <w:br/>
        <w:t>№ 83-ЗИ-VII (САЗ 22-17), от 20 июня 2022 года № 135-ЗД-VII (САЗ 22-24), следующее дополнение</w:t>
      </w:r>
      <w:r>
        <w:rPr>
          <w:sz w:val="28"/>
          <w:szCs w:val="28"/>
        </w:rPr>
        <w:t>.</w:t>
      </w:r>
    </w:p>
    <w:p w14:paraId="1D04718F" w14:textId="77777777" w:rsidR="008003C1" w:rsidRPr="008D0067" w:rsidRDefault="008003C1" w:rsidP="008003C1">
      <w:pPr>
        <w:ind w:firstLine="709"/>
        <w:jc w:val="both"/>
        <w:rPr>
          <w:sz w:val="28"/>
          <w:szCs w:val="28"/>
        </w:rPr>
      </w:pPr>
    </w:p>
    <w:p w14:paraId="4E854607" w14:textId="77777777" w:rsidR="008003C1" w:rsidRPr="008D0067" w:rsidRDefault="008003C1" w:rsidP="008003C1">
      <w:pPr>
        <w:ind w:firstLine="709"/>
        <w:jc w:val="both"/>
        <w:rPr>
          <w:sz w:val="28"/>
          <w:szCs w:val="28"/>
        </w:rPr>
      </w:pPr>
      <w:r w:rsidRPr="008D0067">
        <w:rPr>
          <w:sz w:val="28"/>
          <w:szCs w:val="28"/>
        </w:rPr>
        <w:t>Дополнить Закон статьей 9-1 следующего содержания:</w:t>
      </w:r>
    </w:p>
    <w:p w14:paraId="69DC5488" w14:textId="77777777" w:rsidR="008003C1" w:rsidRPr="008D0067" w:rsidRDefault="008003C1" w:rsidP="008003C1">
      <w:pPr>
        <w:ind w:firstLine="709"/>
        <w:jc w:val="both"/>
        <w:rPr>
          <w:sz w:val="28"/>
          <w:szCs w:val="28"/>
        </w:rPr>
      </w:pPr>
      <w:r w:rsidRPr="008D0067">
        <w:rPr>
          <w:sz w:val="28"/>
          <w:szCs w:val="28"/>
        </w:rPr>
        <w:t xml:space="preserve">«Статья 9-1. Переходные положения </w:t>
      </w:r>
    </w:p>
    <w:p w14:paraId="44A3C504" w14:textId="77777777" w:rsidR="008003C1" w:rsidRPr="008D0067" w:rsidRDefault="008003C1" w:rsidP="008003C1">
      <w:pPr>
        <w:ind w:firstLine="709"/>
        <w:jc w:val="both"/>
        <w:rPr>
          <w:sz w:val="28"/>
          <w:szCs w:val="28"/>
        </w:rPr>
      </w:pPr>
    </w:p>
    <w:p w14:paraId="59C9FB99" w14:textId="77777777" w:rsidR="008003C1" w:rsidRPr="008D0067" w:rsidRDefault="008003C1" w:rsidP="008003C1">
      <w:pPr>
        <w:ind w:firstLine="709"/>
        <w:jc w:val="both"/>
        <w:rPr>
          <w:sz w:val="28"/>
          <w:szCs w:val="28"/>
        </w:rPr>
      </w:pPr>
      <w:r w:rsidRPr="008D0067">
        <w:rPr>
          <w:sz w:val="28"/>
          <w:szCs w:val="28"/>
        </w:rPr>
        <w:t xml:space="preserve">Установить, что с 1 января 2023 года к сумме государственной пошлины, подлежащей уплате в республиканский бюджет, исчисленной в соответствии </w:t>
      </w:r>
      <w:r>
        <w:rPr>
          <w:sz w:val="28"/>
          <w:szCs w:val="28"/>
        </w:rPr>
        <w:br/>
      </w:r>
      <w:r w:rsidRPr="008D0067">
        <w:rPr>
          <w:sz w:val="28"/>
          <w:szCs w:val="28"/>
        </w:rPr>
        <w:t>с настоящим Законом, применяется коэффициент в размере 1,3»</w:t>
      </w:r>
      <w:r>
        <w:rPr>
          <w:sz w:val="28"/>
          <w:szCs w:val="28"/>
        </w:rPr>
        <w:t>.</w:t>
      </w:r>
    </w:p>
    <w:p w14:paraId="34C611EC" w14:textId="77777777" w:rsidR="008003C1" w:rsidRPr="008D0067" w:rsidRDefault="008003C1" w:rsidP="008003C1">
      <w:pPr>
        <w:ind w:firstLine="709"/>
        <w:jc w:val="both"/>
        <w:rPr>
          <w:sz w:val="28"/>
          <w:szCs w:val="28"/>
        </w:rPr>
      </w:pPr>
    </w:p>
    <w:p w14:paraId="2DAA4F72" w14:textId="77777777" w:rsidR="008003C1" w:rsidRPr="008D0067" w:rsidRDefault="008003C1" w:rsidP="008003C1">
      <w:pPr>
        <w:ind w:firstLine="709"/>
        <w:jc w:val="both"/>
        <w:rPr>
          <w:sz w:val="28"/>
          <w:szCs w:val="28"/>
        </w:rPr>
      </w:pPr>
      <w:r w:rsidRPr="008D0067">
        <w:rPr>
          <w:sz w:val="28"/>
          <w:szCs w:val="28"/>
        </w:rPr>
        <w:t>Статья 2.</w:t>
      </w:r>
      <w:r w:rsidRPr="008D0067">
        <w:rPr>
          <w:b/>
          <w:sz w:val="28"/>
          <w:szCs w:val="28"/>
        </w:rPr>
        <w:t xml:space="preserve"> </w:t>
      </w:r>
      <w:r w:rsidRPr="008D0067">
        <w:rPr>
          <w:sz w:val="28"/>
          <w:szCs w:val="28"/>
        </w:rPr>
        <w:t>Настоящий Закон вступает в силу с 1 января 2023 года.</w:t>
      </w:r>
    </w:p>
    <w:p w14:paraId="5574A0CC" w14:textId="6BFA661F" w:rsidR="00962550" w:rsidRDefault="002D7CF9"/>
    <w:p w14:paraId="002CB15F" w14:textId="4D9D3199" w:rsidR="008003C1" w:rsidRDefault="008003C1"/>
    <w:p w14:paraId="22849B3E" w14:textId="54446786" w:rsidR="008003C1" w:rsidRDefault="008003C1"/>
    <w:p w14:paraId="5F445CE4" w14:textId="5CAC6F2B" w:rsidR="008003C1" w:rsidRDefault="008003C1"/>
    <w:p w14:paraId="5E31A461" w14:textId="317BFC53" w:rsidR="008003C1" w:rsidRDefault="008003C1"/>
    <w:p w14:paraId="7C8BC2E2" w14:textId="18C043ED" w:rsidR="008003C1" w:rsidRDefault="008003C1"/>
    <w:p w14:paraId="22FA9D43" w14:textId="036FD5BB" w:rsidR="008003C1" w:rsidRDefault="008003C1"/>
    <w:p w14:paraId="746717DC" w14:textId="320B4437" w:rsidR="008003C1" w:rsidRDefault="008003C1"/>
    <w:p w14:paraId="7544BE08" w14:textId="693B20C1" w:rsidR="008003C1" w:rsidRDefault="008003C1"/>
    <w:p w14:paraId="1C648307" w14:textId="57036122" w:rsidR="008003C1" w:rsidRDefault="008003C1"/>
    <w:p w14:paraId="37B23B08" w14:textId="4B8F680A" w:rsidR="008003C1" w:rsidRDefault="008003C1"/>
    <w:p w14:paraId="57972212" w14:textId="5C02EF98" w:rsidR="008003C1" w:rsidRDefault="008003C1"/>
    <w:p w14:paraId="77AE7900" w14:textId="7B64EC95" w:rsidR="008003C1" w:rsidRDefault="008003C1"/>
    <w:p w14:paraId="69D50C6F" w14:textId="2D4AE55A" w:rsidR="008003C1" w:rsidRDefault="008003C1"/>
    <w:p w14:paraId="2D4D7E2B" w14:textId="10EE149C" w:rsidR="008003C1" w:rsidRDefault="008003C1"/>
    <w:p w14:paraId="1899681C" w14:textId="503BBFEE" w:rsidR="008003C1" w:rsidRDefault="008003C1"/>
    <w:p w14:paraId="1F3EEB6C" w14:textId="4BDA5F88" w:rsidR="008003C1" w:rsidRDefault="008003C1"/>
    <w:p w14:paraId="138FC152" w14:textId="0CF82342" w:rsidR="008003C1" w:rsidRDefault="008003C1"/>
    <w:p w14:paraId="266D64DC" w14:textId="4DC30325" w:rsidR="008003C1" w:rsidRDefault="008003C1"/>
    <w:p w14:paraId="4D5C7742" w14:textId="6F58107E" w:rsidR="008003C1" w:rsidRDefault="008003C1"/>
    <w:p w14:paraId="207D92BC" w14:textId="0C72EB93" w:rsidR="008003C1" w:rsidRDefault="008003C1"/>
    <w:p w14:paraId="20680156" w14:textId="51080434" w:rsidR="008003C1" w:rsidRDefault="008003C1"/>
    <w:p w14:paraId="645AA139" w14:textId="77777777" w:rsidR="008003C1" w:rsidRPr="00000E0E" w:rsidRDefault="008003C1" w:rsidP="008003C1">
      <w:pPr>
        <w:jc w:val="center"/>
      </w:pPr>
      <w:r w:rsidRPr="00000E0E">
        <w:lastRenderedPageBreak/>
        <w:t>Пояснительная записка</w:t>
      </w:r>
    </w:p>
    <w:p w14:paraId="03E7E8AB" w14:textId="77777777" w:rsidR="008003C1" w:rsidRDefault="008003C1" w:rsidP="008003C1">
      <w:pPr>
        <w:jc w:val="center"/>
      </w:pPr>
      <w:r w:rsidRPr="00000E0E">
        <w:t xml:space="preserve">к проекту закона Приднестровской Молдавской Республики </w:t>
      </w:r>
    </w:p>
    <w:p w14:paraId="72D59D3E" w14:textId="77777777" w:rsidR="008003C1" w:rsidRDefault="008003C1" w:rsidP="008003C1">
      <w:pPr>
        <w:jc w:val="center"/>
      </w:pPr>
      <w:r w:rsidRPr="00000E0E">
        <w:t xml:space="preserve">«О внесении дополнения в Закон Приднестровской Молдавской Республики </w:t>
      </w:r>
    </w:p>
    <w:p w14:paraId="07FE4B6A" w14:textId="77777777" w:rsidR="008003C1" w:rsidRPr="00000E0E" w:rsidRDefault="008003C1" w:rsidP="008003C1">
      <w:pPr>
        <w:jc w:val="center"/>
      </w:pPr>
      <w:r w:rsidRPr="00000E0E">
        <w:t>«О государственной пошлине»</w:t>
      </w:r>
    </w:p>
    <w:p w14:paraId="419FC699" w14:textId="77777777" w:rsidR="008003C1" w:rsidRPr="00000E0E" w:rsidRDefault="008003C1" w:rsidP="008003C1">
      <w:pPr>
        <w:jc w:val="center"/>
      </w:pPr>
    </w:p>
    <w:p w14:paraId="2992B20D" w14:textId="77777777" w:rsidR="008003C1" w:rsidRPr="00000E0E" w:rsidRDefault="008003C1" w:rsidP="008003C1">
      <w:pPr>
        <w:ind w:firstLine="567"/>
        <w:jc w:val="both"/>
      </w:pPr>
      <w:r>
        <w:t xml:space="preserve">а) Настоящий </w:t>
      </w:r>
      <w:r w:rsidRPr="003E7CF5">
        <w:t xml:space="preserve">проект закона Приднестровской Молдавской Республики «О внесении дополнения в Закон Приднестровской Молдавской Республики «О государственной пошлине» разработан в целях установления сбалансированного, обоснованного подхода при </w:t>
      </w:r>
      <w:r>
        <w:t xml:space="preserve">определении размеров </w:t>
      </w:r>
      <w:r w:rsidRPr="003E7CF5">
        <w:t>государственной пошлины</w:t>
      </w:r>
      <w:r>
        <w:t>, взимаемой за оказание государственных услуг и юридически значимых действий</w:t>
      </w:r>
      <w:r w:rsidRPr="003E7CF5">
        <w:t>.</w:t>
      </w:r>
    </w:p>
    <w:p w14:paraId="7BC567B9" w14:textId="77777777" w:rsidR="008003C1" w:rsidRPr="00000E0E" w:rsidRDefault="008003C1" w:rsidP="008003C1">
      <w:pPr>
        <w:ind w:firstLine="567"/>
        <w:jc w:val="both"/>
      </w:pPr>
      <w:r w:rsidRPr="00000E0E">
        <w:t>В соответствии со статьей 1 Закона Приднестровской Молдавской Республики от 30 сентября 2000 года № 345-ЗИД «О государственной пошлине»</w:t>
      </w:r>
      <w:r>
        <w:t xml:space="preserve"> </w:t>
      </w:r>
      <w:r w:rsidRPr="00184EAD">
        <w:rPr>
          <w:shd w:val="clear" w:color="auto" w:fill="FFFFFF"/>
        </w:rPr>
        <w:t>(СЗМР 00-3)</w:t>
      </w:r>
      <w:r w:rsidRPr="00184EAD">
        <w:t xml:space="preserve"> </w:t>
      </w:r>
      <w:r>
        <w:t>(далее - Закон</w:t>
      </w:r>
      <w:r w:rsidRPr="00000E0E">
        <w:t xml:space="preserve"> Приднестровской Молдавской Республики</w:t>
      </w:r>
      <w:r>
        <w:t xml:space="preserve"> </w:t>
      </w:r>
      <w:r w:rsidRPr="00000E0E">
        <w:t>«О государственной пошлине»</w:t>
      </w:r>
      <w:r>
        <w:t>)</w:t>
      </w:r>
      <w:r w:rsidRPr="00000E0E">
        <w:t xml:space="preserve"> под государственной пошлиной понимается установленный законом обязательный взнос, взимаемый за совершение юридически значимых действий либо выдачу документов уполномоченными на то органами или должностными лицами.</w:t>
      </w:r>
    </w:p>
    <w:p w14:paraId="5F291D97" w14:textId="77777777" w:rsidR="008003C1" w:rsidRDefault="008003C1" w:rsidP="008003C1">
      <w:pPr>
        <w:ind w:firstLine="567"/>
        <w:jc w:val="both"/>
      </w:pPr>
      <w:r>
        <w:t>Среди объектов взимания государственной пошлины присутствуют обращение в суды, предоставление определённых прав, регистрационные действия и выдача документов, а также оказание государственных услуг.</w:t>
      </w:r>
    </w:p>
    <w:p w14:paraId="47610D96" w14:textId="77777777" w:rsidR="008003C1" w:rsidRDefault="008003C1" w:rsidP="008003C1">
      <w:pPr>
        <w:ind w:firstLine="567"/>
        <w:jc w:val="both"/>
      </w:pPr>
      <w:r>
        <w:t>Таким образом, обозначенные юридически значимые</w:t>
      </w:r>
      <w:r w:rsidRPr="00000E0E">
        <w:t xml:space="preserve"> действия совершаются по заявлению </w:t>
      </w:r>
      <w:r>
        <w:t>физических</w:t>
      </w:r>
      <w:r w:rsidRPr="00000E0E">
        <w:t xml:space="preserve"> и юридических лиц</w:t>
      </w:r>
      <w:r>
        <w:t xml:space="preserve"> и в их индивидуальных интересах</w:t>
      </w:r>
      <w:r w:rsidRPr="00000E0E">
        <w:t>.</w:t>
      </w:r>
    </w:p>
    <w:p w14:paraId="71530443" w14:textId="77777777" w:rsidR="008003C1" w:rsidRDefault="008003C1" w:rsidP="008003C1">
      <w:pPr>
        <w:ind w:firstLine="567"/>
        <w:jc w:val="both"/>
      </w:pPr>
      <w:r>
        <w:t>Цель взыскания государственной пошлины не может состоять в получении государством дохода, однако, должна заключаться в покрытии без убытка издержек государственных органов и учреждений,</w:t>
      </w:r>
      <w:r w:rsidRPr="003E7CF5">
        <w:t xml:space="preserve"> </w:t>
      </w:r>
      <w:r>
        <w:t xml:space="preserve">оказывающих соответствующие услуги. Вместе с тем, в настоящее время данный принцип не реализован на практике, о чем свидетельствуют показатели исполнения республиканского и местных бюджетов </w:t>
      </w:r>
      <w:r w:rsidRPr="00000E0E">
        <w:t>Приднестровской Молдавской Республики</w:t>
      </w:r>
      <w:r>
        <w:t>.</w:t>
      </w:r>
    </w:p>
    <w:p w14:paraId="18D77734" w14:textId="77777777" w:rsidR="008003C1" w:rsidRPr="00000E0E" w:rsidRDefault="008003C1" w:rsidP="008003C1">
      <w:pPr>
        <w:ind w:firstLine="567"/>
        <w:jc w:val="both"/>
        <w:rPr>
          <w:color w:val="000000"/>
        </w:rPr>
      </w:pPr>
      <w:r>
        <w:t>Так, а</w:t>
      </w:r>
      <w:r w:rsidRPr="00000E0E">
        <w:t>нализ приложений № 2</w:t>
      </w:r>
      <w:r>
        <w:t xml:space="preserve"> и</w:t>
      </w:r>
      <w:r w:rsidRPr="00000E0E">
        <w:t xml:space="preserve"> № 8 к «Отчету </w:t>
      </w:r>
      <w:r w:rsidRPr="00000E0E">
        <w:rPr>
          <w:color w:val="000000"/>
        </w:rPr>
        <w:t>об исполнении республиканского и местных бюджетов, специальных бюджетных счетов (фондов) за 2021 год» (далее – Отчет об исполнении бюджета), утвержденному Распоряжением Правительства Приднестровской Молдавской Республики от 15 марта 2022 года № 195р</w:t>
      </w:r>
      <w:r>
        <w:rPr>
          <w:color w:val="000000"/>
        </w:rPr>
        <w:t>,</w:t>
      </w:r>
      <w:r w:rsidRPr="00000E0E">
        <w:rPr>
          <w:color w:val="000000"/>
        </w:rPr>
        <w:t xml:space="preserve"> показал, что всего за 2021 год по статье 1400100 «Государственная пошлина» </w:t>
      </w:r>
      <w:r>
        <w:rPr>
          <w:color w:val="000000"/>
        </w:rPr>
        <w:t xml:space="preserve">в республиканский бюджет </w:t>
      </w:r>
      <w:r w:rsidRPr="00000E0E">
        <w:rPr>
          <w:color w:val="000000"/>
        </w:rPr>
        <w:t>поступило 27 334 243,9 руб</w:t>
      </w:r>
      <w:r>
        <w:rPr>
          <w:color w:val="000000"/>
        </w:rPr>
        <w:t>лей</w:t>
      </w:r>
      <w:r w:rsidRPr="00000E0E">
        <w:rPr>
          <w:color w:val="000000"/>
        </w:rPr>
        <w:t xml:space="preserve">. При этом объем расходов на </w:t>
      </w:r>
      <w:r>
        <w:rPr>
          <w:color w:val="000000"/>
        </w:rPr>
        <w:t xml:space="preserve">содержание государственных органов </w:t>
      </w:r>
      <w:r w:rsidRPr="00000E0E">
        <w:rPr>
          <w:color w:val="000000"/>
        </w:rPr>
        <w:t>превышает сумму</w:t>
      </w:r>
      <w:r>
        <w:rPr>
          <w:color w:val="000000"/>
        </w:rPr>
        <w:t xml:space="preserve"> государственной пошлины, поступившую в бюджет за оказанные ими государственные услуги или совершенные юридически значимые действия</w:t>
      </w:r>
      <w:r w:rsidRPr="00000E0E">
        <w:rPr>
          <w:color w:val="000000"/>
        </w:rPr>
        <w:t>.</w:t>
      </w:r>
    </w:p>
    <w:p w14:paraId="1D04B8EB" w14:textId="77777777" w:rsidR="008003C1" w:rsidRDefault="008003C1" w:rsidP="008003C1">
      <w:pPr>
        <w:ind w:firstLine="567"/>
        <w:jc w:val="both"/>
      </w:pPr>
      <w:r w:rsidRPr="001928EC">
        <w:t xml:space="preserve">Например, </w:t>
      </w:r>
      <w:r w:rsidRPr="001928EC">
        <w:rPr>
          <w:color w:val="000000"/>
        </w:rPr>
        <w:t xml:space="preserve">в 2021 году из средств республиканского бюджета на </w:t>
      </w:r>
      <w:r>
        <w:rPr>
          <w:color w:val="000000"/>
        </w:rPr>
        <w:t>содержание</w:t>
      </w:r>
      <w:r w:rsidRPr="001928EC">
        <w:rPr>
          <w:color w:val="000000"/>
        </w:rPr>
        <w:t xml:space="preserve"> </w:t>
      </w:r>
      <w:r>
        <w:rPr>
          <w:color w:val="000000"/>
        </w:rPr>
        <w:t>Арбитражного суда</w:t>
      </w:r>
      <w:r w:rsidRPr="001928EC">
        <w:rPr>
          <w:color w:val="000000"/>
        </w:rPr>
        <w:t xml:space="preserve"> </w:t>
      </w:r>
      <w:r w:rsidRPr="001928EC">
        <w:t xml:space="preserve">Приднестровской Молдавской Республики фактически было израсходовано </w:t>
      </w:r>
      <w:r>
        <w:t>4</w:t>
      </w:r>
      <w:r w:rsidRPr="001928EC">
        <w:t> </w:t>
      </w:r>
      <w:r>
        <w:t>268</w:t>
      </w:r>
      <w:r w:rsidRPr="001928EC">
        <w:t> </w:t>
      </w:r>
      <w:r>
        <w:t>367</w:t>
      </w:r>
      <w:r w:rsidRPr="001928EC">
        <w:t xml:space="preserve"> рублей.</w:t>
      </w:r>
      <w:r>
        <w:t xml:space="preserve"> При этом поступления от государственной пошлины в республиканский бюджет по делам, рассматриваемым данным судом, составили 802 756,10 рублей, что составляет примерно 18,8 процентов от суммы необходимой на содержание </w:t>
      </w:r>
      <w:r>
        <w:rPr>
          <w:color w:val="000000"/>
        </w:rPr>
        <w:t>Арбитражного суда</w:t>
      </w:r>
      <w:r w:rsidRPr="001928EC">
        <w:rPr>
          <w:color w:val="000000"/>
        </w:rPr>
        <w:t xml:space="preserve"> </w:t>
      </w:r>
      <w:r w:rsidRPr="001928EC">
        <w:t>Приднестровской Молдавской Республики</w:t>
      </w:r>
      <w:r>
        <w:t>.</w:t>
      </w:r>
    </w:p>
    <w:p w14:paraId="5936DD98" w14:textId="77777777" w:rsidR="008003C1" w:rsidRDefault="008003C1" w:rsidP="008003C1">
      <w:pPr>
        <w:ind w:firstLine="567"/>
        <w:jc w:val="both"/>
      </w:pPr>
      <w:r>
        <w:t xml:space="preserve">На содержание </w:t>
      </w:r>
      <w:r w:rsidRPr="0044447E">
        <w:t>Верховн</w:t>
      </w:r>
      <w:r>
        <w:t>ого</w:t>
      </w:r>
      <w:r w:rsidRPr="0044447E">
        <w:t xml:space="preserve"> суд</w:t>
      </w:r>
      <w:r>
        <w:t>а</w:t>
      </w:r>
      <w:r w:rsidRPr="0044447E">
        <w:t xml:space="preserve"> Приднестровской Молдавской Республики в 2021 году </w:t>
      </w:r>
      <w:r w:rsidRPr="0044447E">
        <w:rPr>
          <w:color w:val="000000"/>
        </w:rPr>
        <w:t xml:space="preserve">израсходовано 8 479 568 </w:t>
      </w:r>
      <w:proofErr w:type="gramStart"/>
      <w:r w:rsidRPr="0044447E">
        <w:rPr>
          <w:color w:val="000000"/>
        </w:rPr>
        <w:t>рублей, в то время, как</w:t>
      </w:r>
      <w:proofErr w:type="gramEnd"/>
      <w:r w:rsidRPr="0044447E">
        <w:rPr>
          <w:color w:val="000000"/>
        </w:rPr>
        <w:t xml:space="preserve"> объем государственной пошлины по делам, рассматриваемым данным судом, за 2021 год составил 43 885 рублей. То есть действующие размеры государственной пошлины при обращении в Верховный суд </w:t>
      </w:r>
      <w:r w:rsidRPr="0044447E">
        <w:t xml:space="preserve">Приднестровской Молдавской Республики </w:t>
      </w:r>
      <w:r w:rsidRPr="0044447E">
        <w:rPr>
          <w:color w:val="000000"/>
        </w:rPr>
        <w:t xml:space="preserve">позволяют компенсировать расходы республиканского бюджета на его содержание </w:t>
      </w:r>
      <w:r w:rsidRPr="0044447E">
        <w:t>не более, чем на 0,5 процента от фактических затрат</w:t>
      </w:r>
      <w:r w:rsidRPr="0044447E">
        <w:rPr>
          <w:color w:val="000000"/>
        </w:rPr>
        <w:t>.</w:t>
      </w:r>
    </w:p>
    <w:p w14:paraId="28E00256" w14:textId="77777777" w:rsidR="008003C1" w:rsidRDefault="008003C1" w:rsidP="008003C1">
      <w:pPr>
        <w:ind w:firstLine="567"/>
        <w:jc w:val="both"/>
      </w:pPr>
      <w:r>
        <w:t>Следует подчеркнуть, что Закон</w:t>
      </w:r>
      <w:r w:rsidRPr="00000E0E">
        <w:t xml:space="preserve"> Приднестровской Молдавской Республики</w:t>
      </w:r>
      <w:r>
        <w:t xml:space="preserve"> </w:t>
      </w:r>
      <w:r>
        <w:br/>
      </w:r>
      <w:r w:rsidRPr="00000E0E">
        <w:t>«О государственной пошлине»</w:t>
      </w:r>
      <w:r>
        <w:t xml:space="preserve"> был принят в 2000 году и с момента его вступления в силу </w:t>
      </w:r>
      <w:r>
        <w:rPr>
          <w:color w:val="000000"/>
        </w:rPr>
        <w:t>комплексное увеличение размеров государственной пошлины в сторону увеличения не производилось.</w:t>
      </w:r>
    </w:p>
    <w:p w14:paraId="34C66938" w14:textId="77777777" w:rsidR="008003C1" w:rsidRDefault="008003C1" w:rsidP="008003C1">
      <w:pPr>
        <w:ind w:firstLine="567"/>
        <w:jc w:val="both"/>
      </w:pPr>
      <w:r>
        <w:lastRenderedPageBreak/>
        <w:t>Кроме того, согласно статье 8 Закон</w:t>
      </w:r>
      <w:r w:rsidRPr="00000E0E">
        <w:t xml:space="preserve"> Приднестровской Молдавской Республики</w:t>
      </w:r>
      <w:r>
        <w:t xml:space="preserve"> </w:t>
      </w:r>
      <w:r>
        <w:br/>
      </w:r>
      <w:r w:rsidRPr="00000E0E">
        <w:t>«О государственной пошлине</w:t>
      </w:r>
      <w:r>
        <w:t>» г</w:t>
      </w:r>
      <w:r w:rsidRPr="00885F75">
        <w:t>осударственная пошлина по настоящему Закону исчисляется исходя из расчетного уровня минимальной заработной платы</w:t>
      </w:r>
      <w:r>
        <w:t xml:space="preserve"> (далее – РУ МЗП)</w:t>
      </w:r>
      <w:r w:rsidRPr="00885F75">
        <w:t>, установленного действующим законодательством.</w:t>
      </w:r>
    </w:p>
    <w:p w14:paraId="3ABF6A3A" w14:textId="77777777" w:rsidR="008003C1" w:rsidRDefault="008003C1" w:rsidP="008003C1">
      <w:pPr>
        <w:ind w:firstLine="567"/>
        <w:jc w:val="both"/>
      </w:pPr>
      <w:r>
        <w:t xml:space="preserve">В соответствии с </w:t>
      </w:r>
      <w:r w:rsidRPr="0080052F">
        <w:rPr>
          <w:color w:val="000000"/>
          <w:shd w:val="clear" w:color="auto" w:fill="FFFFFF"/>
        </w:rPr>
        <w:t xml:space="preserve">подпунктом щ) пункта 1 статьи 49 </w:t>
      </w:r>
      <w:r w:rsidRPr="0080052F">
        <w:t>Закона Приднестровской Молдавской Республики от 30 декабря 2021 года № 370-З-VII «О республиканском бюджете на 2022 год» (САЗ 21-52)</w:t>
      </w:r>
      <w:r>
        <w:t xml:space="preserve">, размер РУ МЗП, применяемый </w:t>
      </w:r>
      <w:r w:rsidRPr="0080052F">
        <w:t xml:space="preserve">для исчисления прочих налоговых и иных обязательных платежей, а также индексации алиментов </w:t>
      </w:r>
      <w:r>
        <w:t>составляет</w:t>
      </w:r>
      <w:r w:rsidRPr="0080052F">
        <w:t xml:space="preserve"> 14,5 рубля.</w:t>
      </w:r>
      <w:r>
        <w:t xml:space="preserve"> Данный размер РУ МЗП применялся без корректировок для исчисления государственной пошлины начиная с 2015 года.</w:t>
      </w:r>
    </w:p>
    <w:p w14:paraId="5C5B0797" w14:textId="77777777" w:rsidR="008003C1" w:rsidRDefault="008003C1" w:rsidP="008003C1">
      <w:pPr>
        <w:ind w:firstLine="567"/>
        <w:jc w:val="both"/>
      </w:pPr>
      <w:r>
        <w:t xml:space="preserve">Следует также отметить, что сравнительный анализ размеров государственной пошлины, установленной законодательством Российской Федерации, свидетельствует о существенной разнице по многим видам регистрационных действий между размерами государственной пошлины, установленными законодательством </w:t>
      </w:r>
      <w:r>
        <w:rPr>
          <w:color w:val="000000"/>
        </w:rPr>
        <w:t>Приднестровской</w:t>
      </w:r>
      <w:r>
        <w:t xml:space="preserve"> Молдавской Республики.</w:t>
      </w:r>
    </w:p>
    <w:p w14:paraId="2B3F0180" w14:textId="77777777" w:rsidR="008003C1" w:rsidRDefault="008003C1" w:rsidP="008003C1">
      <w:pPr>
        <w:ind w:firstLine="567"/>
        <w:jc w:val="both"/>
      </w:pPr>
      <w:r>
        <w:t>Так, согласно статье 333.33 Налогового кодекса Российской Федерации размер государственной пошлины за</w:t>
      </w:r>
      <w:r>
        <w:rPr>
          <w:color w:val="000000"/>
          <w:shd w:val="clear" w:color="auto" w:fill="FFFFFF"/>
        </w:rPr>
        <w:t xml:space="preserve"> государственную регистрацию юридического лица составляет 4 000 рублей Российской Федерации (1 100 рублей </w:t>
      </w:r>
      <w:r>
        <w:t>Приднестровской Молдавской Республики</w:t>
      </w:r>
      <w:r>
        <w:rPr>
          <w:color w:val="000000"/>
          <w:shd w:val="clear" w:color="auto" w:fill="FFFFFF"/>
        </w:rPr>
        <w:t xml:space="preserve">), в то время, как за аналогичное юридически значимое действие в соответствии с подпунктом а) пункта 5-1 статьи 4 </w:t>
      </w:r>
      <w:r>
        <w:t xml:space="preserve">Закона Приднестровской Молдавской Республики «О государственной пошлине» государственная пошлина составляет 40 РУ МЗП, что составляет 580 рублей </w:t>
      </w:r>
      <w:r>
        <w:rPr>
          <w:color w:val="000000"/>
        </w:rPr>
        <w:t>Приднестровской</w:t>
      </w:r>
      <w:r>
        <w:t xml:space="preserve"> Молдавской Республики. </w:t>
      </w:r>
    </w:p>
    <w:p w14:paraId="2B295694" w14:textId="77777777" w:rsidR="008003C1" w:rsidRPr="001B49C6" w:rsidRDefault="008003C1" w:rsidP="008003C1">
      <w:pPr>
        <w:ind w:firstLine="567"/>
        <w:jc w:val="both"/>
      </w:pPr>
      <w:r w:rsidRPr="001B49C6">
        <w:t>Размер государственной пошлины за государственную регистрацию заключения брака в Российской Федерации составляет 350 рублей Российской Федерации (9</w:t>
      </w:r>
      <w:r>
        <w:t>6</w:t>
      </w:r>
      <w:r w:rsidRPr="001B49C6">
        <w:t>,</w:t>
      </w:r>
      <w:r>
        <w:t>2</w:t>
      </w:r>
      <w:r w:rsidRPr="001B49C6">
        <w:t>5 рубля Приднестровской Молдавской Республики), при этом в Приднестровской Молдавской Республике за данное регистрационное действие размер государственной пошлины равен 2 РУ МЗП (29 рублей Приднестровской Молдавской Республики).</w:t>
      </w:r>
    </w:p>
    <w:p w14:paraId="6BEB45C1" w14:textId="77777777" w:rsidR="008003C1" w:rsidRPr="001B49C6" w:rsidRDefault="008003C1" w:rsidP="008003C1">
      <w:pPr>
        <w:ind w:firstLine="567"/>
        <w:jc w:val="both"/>
      </w:pPr>
      <w:r w:rsidRPr="001B49C6">
        <w:t>Государственная пошлина с заявлений об установлении фактов, имеющих юридическое значение, подаваемых в Арбитражный суд Приднестровской Молдавской Республики составляет 20 РУ МЗП (290 рублей Приднестровской Молдавской Республики), в Российской Федерации за подачу данного заявления взимается пошлина в размере 3 000 рублей Российской Федерации (825 рублей Приднестровской Молдавской Республики).</w:t>
      </w:r>
    </w:p>
    <w:p w14:paraId="3BDFDCB9" w14:textId="77777777" w:rsidR="008003C1" w:rsidRPr="001B49C6" w:rsidRDefault="008003C1" w:rsidP="008003C1">
      <w:pPr>
        <w:ind w:firstLine="567"/>
        <w:jc w:val="both"/>
      </w:pPr>
      <w:r w:rsidRPr="001B49C6">
        <w:t xml:space="preserve">С заявлений о присуждении компенсации за нарушение права на судопроизводство в разумный срок или права на исполнение судебного акта в разумный срок </w:t>
      </w:r>
      <w:r>
        <w:t xml:space="preserve">с </w:t>
      </w:r>
      <w:r w:rsidRPr="001B49C6">
        <w:t>юридических лиц взимается 30 РУ МЗП (435 рублей Приднестровской Молдавской Республики), в Российской Федерации - 6 000 рублей (1 650 рублей Приднестровской Молдавской Республики).</w:t>
      </w:r>
    </w:p>
    <w:p w14:paraId="1623765B" w14:textId="77777777" w:rsidR="008003C1" w:rsidRDefault="008003C1" w:rsidP="008003C1">
      <w:pPr>
        <w:ind w:firstLine="567"/>
        <w:jc w:val="both"/>
        <w:rPr>
          <w:highlight w:val="green"/>
        </w:rPr>
      </w:pPr>
      <w:r>
        <w:t xml:space="preserve">Основываясь на вышеизложенном </w:t>
      </w:r>
      <w:r w:rsidRPr="00142BB7">
        <w:t>и исходя из необходимости при определении размеров государственной пошлины учитывать расходы, понесенные государственным органом</w:t>
      </w:r>
      <w:r>
        <w:t xml:space="preserve"> при оказании услуг и совершении юридически значимых действий в интересах физических и юридических лиц, в целях</w:t>
      </w:r>
      <w:r w:rsidRPr="00142BB7">
        <w:t xml:space="preserve"> более сбалансированного подхода к формированию государственного бюджета, </w:t>
      </w:r>
      <w:r>
        <w:t>законо</w:t>
      </w:r>
      <w:r>
        <w:rPr>
          <w:color w:val="000000"/>
        </w:rPr>
        <w:t>проектом предлагается увеличить размер государственной пошлины на 30 процентов</w:t>
      </w:r>
      <w:r>
        <w:t>.</w:t>
      </w:r>
    </w:p>
    <w:p w14:paraId="69805008" w14:textId="77777777" w:rsidR="008003C1" w:rsidRDefault="008003C1" w:rsidP="008003C1">
      <w:pPr>
        <w:ind w:firstLine="567"/>
        <w:jc w:val="both"/>
      </w:pPr>
      <w:r>
        <w:t xml:space="preserve">Социально-экономическими последствиями принятия настоящего законопроекта станут увеличение доходной части республиканского бюджета и, как следствие, уменьшение разрыва между доходами и расходами государства. </w:t>
      </w:r>
    </w:p>
    <w:p w14:paraId="7A8B2DFA" w14:textId="77777777" w:rsidR="008003C1" w:rsidRPr="003A7BEB" w:rsidRDefault="008003C1" w:rsidP="008003C1">
      <w:pPr>
        <w:ind w:firstLine="567"/>
        <w:jc w:val="both"/>
        <w:rPr>
          <w:color w:val="000000"/>
        </w:rPr>
      </w:pPr>
      <w:r>
        <w:t xml:space="preserve">В случае сохранения объема юридически значимых действий, совершенных в 2021 году, с принятием данного законопроекта финансовые поступления по статье </w:t>
      </w:r>
      <w:r>
        <w:rPr>
          <w:color w:val="000000"/>
        </w:rPr>
        <w:t>1400100</w:t>
      </w:r>
      <w:r>
        <w:t xml:space="preserve"> «Государственная пошлина» составит около 35 535 000 </w:t>
      </w:r>
      <w:r>
        <w:rPr>
          <w:color w:val="000000"/>
        </w:rPr>
        <w:t xml:space="preserve">рублей, что примерно на 8 200 000 больше, </w:t>
      </w:r>
      <w:r w:rsidRPr="003A7BEB">
        <w:rPr>
          <w:color w:val="000000"/>
        </w:rPr>
        <w:t xml:space="preserve">чем в 2021 году; </w:t>
      </w:r>
    </w:p>
    <w:p w14:paraId="486FBF50" w14:textId="77777777" w:rsidR="008003C1" w:rsidRPr="003A7BEB" w:rsidRDefault="008003C1" w:rsidP="008003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A7BEB">
        <w:t>б) в данной сфере правового регулирования действуют:</w:t>
      </w:r>
    </w:p>
    <w:p w14:paraId="020B44B2" w14:textId="77777777" w:rsidR="008003C1" w:rsidRPr="003A7BEB" w:rsidRDefault="008003C1" w:rsidP="008003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A7BEB">
        <w:t xml:space="preserve">1) Конституция </w:t>
      </w:r>
      <w:r w:rsidRPr="003A7BEB">
        <w:rPr>
          <w:color w:val="000000"/>
        </w:rPr>
        <w:t>Приднестровской</w:t>
      </w:r>
      <w:r w:rsidRPr="003A7BEB">
        <w:t xml:space="preserve"> Молдавской Республики;</w:t>
      </w:r>
    </w:p>
    <w:p w14:paraId="055711F9" w14:textId="77777777" w:rsidR="008003C1" w:rsidRPr="003F6849" w:rsidRDefault="008003C1" w:rsidP="008003C1">
      <w:pPr>
        <w:ind w:right="40" w:firstLine="567"/>
        <w:jc w:val="both"/>
      </w:pPr>
      <w:r w:rsidRPr="003A7BEB">
        <w:lastRenderedPageBreak/>
        <w:t xml:space="preserve">2) </w:t>
      </w:r>
      <w:r>
        <w:t>Закон</w:t>
      </w:r>
      <w:r w:rsidRPr="003A7BEB">
        <w:t xml:space="preserve"> Приднестровской Молдавской Республики от</w:t>
      </w:r>
      <w:r>
        <w:t xml:space="preserve"> 9 июля 2000 года </w:t>
      </w:r>
      <w:r w:rsidRPr="00885F75">
        <w:t>№ 321-ЗИД</w:t>
      </w:r>
      <w:r>
        <w:t xml:space="preserve"> «</w:t>
      </w:r>
      <w:r w:rsidRPr="00885F75">
        <w:t>Об основах налоговой системы в Приднестровской Молдавской Республике</w:t>
      </w:r>
      <w:r>
        <w:t>» (СЗА</w:t>
      </w:r>
      <w:r w:rsidRPr="00885F75">
        <w:t xml:space="preserve"> № 00-3</w:t>
      </w:r>
      <w:r>
        <w:t>);</w:t>
      </w:r>
    </w:p>
    <w:p w14:paraId="78591E80" w14:textId="77777777" w:rsidR="008003C1" w:rsidRPr="003A7BEB" w:rsidRDefault="008003C1" w:rsidP="008003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3) Закон</w:t>
      </w:r>
      <w:r w:rsidRPr="003A7BEB">
        <w:t xml:space="preserve"> Приднестровской Молдавской Республики от 30 сентября 2000 года № 345-ЗИД «О государственной пошлине» </w:t>
      </w:r>
      <w:r w:rsidRPr="003A7BEB">
        <w:rPr>
          <w:shd w:val="clear" w:color="auto" w:fill="FFFFFF"/>
        </w:rPr>
        <w:t>(СЗМР 00-3);</w:t>
      </w:r>
    </w:p>
    <w:p w14:paraId="0DF4094F" w14:textId="77777777" w:rsidR="008003C1" w:rsidRPr="003A7BEB" w:rsidRDefault="008003C1" w:rsidP="008003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4</w:t>
      </w:r>
      <w:r w:rsidRPr="003A7BEB">
        <w:t xml:space="preserve">) Закон Приднестровской Молдавской Республики от 30 декабря 2021 года </w:t>
      </w:r>
      <w:r w:rsidRPr="003A7BEB">
        <w:br/>
        <w:t>№ 370-З-VII «О республиканском бюджете на 2022 год» (САЗ 21-52);</w:t>
      </w:r>
    </w:p>
    <w:p w14:paraId="6615C6C8" w14:textId="77777777" w:rsidR="008003C1" w:rsidRPr="003A7BEB" w:rsidRDefault="008003C1" w:rsidP="008003C1">
      <w:pPr>
        <w:pStyle w:val="60"/>
        <w:shd w:val="clear" w:color="auto" w:fill="auto"/>
        <w:spacing w:line="240" w:lineRule="auto"/>
        <w:ind w:left="20" w:right="40" w:firstLine="567"/>
        <w:rPr>
          <w:sz w:val="24"/>
          <w:szCs w:val="24"/>
          <w:shd w:val="clear" w:color="auto" w:fill="FFFFFF"/>
        </w:rPr>
      </w:pPr>
      <w:r w:rsidRPr="003A7BEB">
        <w:rPr>
          <w:sz w:val="24"/>
          <w:szCs w:val="24"/>
        </w:rPr>
        <w:t>в) принятие данного проекта закона не потребует внесения изменений и дополнений в иные законодательные акты Приднестровской Молдавской Республики;</w:t>
      </w:r>
    </w:p>
    <w:p w14:paraId="6C77D180" w14:textId="77777777" w:rsidR="008003C1" w:rsidRDefault="008003C1" w:rsidP="008003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A7BEB">
        <w:rPr>
          <w:rFonts w:ascii="Times New Roman" w:hAnsi="Times New Roman"/>
          <w:sz w:val="24"/>
          <w:szCs w:val="24"/>
        </w:rPr>
        <w:t>г) реализация</w:t>
      </w:r>
      <w:r>
        <w:rPr>
          <w:rFonts w:ascii="Times New Roman" w:hAnsi="Times New Roman"/>
          <w:sz w:val="24"/>
          <w:szCs w:val="24"/>
        </w:rPr>
        <w:t xml:space="preserve"> данного проекта закона не потребует дополнительных материальных и иных затрат;</w:t>
      </w:r>
    </w:p>
    <w:p w14:paraId="4BAD1C74" w14:textId="77777777" w:rsidR="008003C1" w:rsidRDefault="008003C1" w:rsidP="008003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данный проект закона не потребует принятия отдельного нормативного правового акта о порядке вступления его в силу.</w:t>
      </w:r>
    </w:p>
    <w:p w14:paraId="4B2958D8" w14:textId="77777777" w:rsidR="008003C1" w:rsidRDefault="008003C1" w:rsidP="008003C1">
      <w:pPr>
        <w:ind w:right="40" w:firstLine="567"/>
        <w:jc w:val="both"/>
      </w:pPr>
    </w:p>
    <w:p w14:paraId="0C4233FC" w14:textId="77777777" w:rsidR="008003C1" w:rsidRDefault="008003C1" w:rsidP="008003C1"/>
    <w:p w14:paraId="62D0F208" w14:textId="77777777" w:rsidR="008003C1" w:rsidRDefault="008003C1" w:rsidP="008003C1">
      <w:pPr>
        <w:jc w:val="center"/>
      </w:pPr>
    </w:p>
    <w:p w14:paraId="04E2128C" w14:textId="77777777" w:rsidR="008003C1" w:rsidRPr="00094A0C" w:rsidRDefault="008003C1" w:rsidP="008003C1">
      <w:r w:rsidRPr="00094A0C">
        <w:t xml:space="preserve">Заместитель Председателя </w:t>
      </w:r>
    </w:p>
    <w:p w14:paraId="6FEE3F13" w14:textId="77777777" w:rsidR="008003C1" w:rsidRPr="00094A0C" w:rsidRDefault="008003C1" w:rsidP="008003C1">
      <w:r w:rsidRPr="00094A0C">
        <w:t xml:space="preserve">Правительства Приднестровской </w:t>
      </w:r>
    </w:p>
    <w:p w14:paraId="21F6C147" w14:textId="77777777" w:rsidR="008003C1" w:rsidRPr="00094A0C" w:rsidRDefault="008003C1" w:rsidP="008003C1">
      <w:r w:rsidRPr="00094A0C">
        <w:t>Молдавской Республики</w:t>
      </w:r>
      <w:r w:rsidRPr="00094A0C">
        <w:rPr>
          <w:color w:val="262626"/>
        </w:rPr>
        <w:t xml:space="preserve"> </w:t>
      </w:r>
      <w:r w:rsidRPr="00094A0C">
        <w:t xml:space="preserve">по вопросам </w:t>
      </w:r>
    </w:p>
    <w:p w14:paraId="1261808F" w14:textId="77777777" w:rsidR="008003C1" w:rsidRPr="00094A0C" w:rsidRDefault="008003C1" w:rsidP="008003C1">
      <w:r w:rsidRPr="00094A0C">
        <w:t xml:space="preserve">правового регулирования </w:t>
      </w:r>
    </w:p>
    <w:p w14:paraId="418DB787" w14:textId="77777777" w:rsidR="008003C1" w:rsidRPr="00094A0C" w:rsidRDefault="008003C1" w:rsidP="008003C1">
      <w:r w:rsidRPr="00094A0C">
        <w:t xml:space="preserve">и взаимодействия с органами </w:t>
      </w:r>
    </w:p>
    <w:p w14:paraId="74C69E1E" w14:textId="77777777" w:rsidR="008003C1" w:rsidRPr="00094A0C" w:rsidRDefault="008003C1" w:rsidP="008003C1">
      <w:pPr>
        <w:rPr>
          <w:color w:val="262626"/>
        </w:rPr>
      </w:pPr>
      <w:r w:rsidRPr="00094A0C">
        <w:t>государственной власти –</w:t>
      </w:r>
    </w:p>
    <w:p w14:paraId="02ACCA35" w14:textId="77777777" w:rsidR="008003C1" w:rsidRPr="00094A0C" w:rsidRDefault="008003C1" w:rsidP="008003C1">
      <w:pPr>
        <w:rPr>
          <w:color w:val="262626"/>
        </w:rPr>
      </w:pPr>
      <w:r w:rsidRPr="00094A0C">
        <w:rPr>
          <w:color w:val="262626"/>
        </w:rPr>
        <w:t xml:space="preserve">Руководитель Аппарата Правительства </w:t>
      </w:r>
    </w:p>
    <w:p w14:paraId="39D5F68C" w14:textId="77777777" w:rsidR="008003C1" w:rsidRPr="00094A0C" w:rsidRDefault="008003C1" w:rsidP="008003C1">
      <w:r w:rsidRPr="00094A0C">
        <w:rPr>
          <w:color w:val="262626"/>
        </w:rPr>
        <w:t xml:space="preserve">Приднестровской Молдавской Республики                                 </w:t>
      </w:r>
      <w:r>
        <w:rPr>
          <w:color w:val="262626"/>
        </w:rPr>
        <w:t xml:space="preserve">                    </w:t>
      </w:r>
      <w:r w:rsidRPr="00094A0C">
        <w:rPr>
          <w:color w:val="262626"/>
        </w:rPr>
        <w:t xml:space="preserve">          С.М. </w:t>
      </w:r>
      <w:proofErr w:type="spellStart"/>
      <w:r w:rsidRPr="00094A0C">
        <w:rPr>
          <w:color w:val="262626"/>
        </w:rPr>
        <w:t>Касап</w:t>
      </w:r>
      <w:proofErr w:type="spellEnd"/>
    </w:p>
    <w:p w14:paraId="3B960F11" w14:textId="6060218A" w:rsidR="008003C1" w:rsidRDefault="008003C1"/>
    <w:p w14:paraId="62F3A351" w14:textId="37CD41C1" w:rsidR="008003C1" w:rsidRDefault="008003C1"/>
    <w:p w14:paraId="58604F18" w14:textId="01C73E97" w:rsidR="008003C1" w:rsidRDefault="008003C1"/>
    <w:p w14:paraId="53B8C56D" w14:textId="727AC4A2" w:rsidR="008003C1" w:rsidRDefault="008003C1"/>
    <w:p w14:paraId="6AD66A1E" w14:textId="3EB1F710" w:rsidR="008003C1" w:rsidRDefault="008003C1"/>
    <w:p w14:paraId="4C5FE585" w14:textId="15F50ED0" w:rsidR="008003C1" w:rsidRDefault="008003C1"/>
    <w:p w14:paraId="7545FFD3" w14:textId="19743FAF" w:rsidR="008003C1" w:rsidRDefault="008003C1"/>
    <w:p w14:paraId="1BBBE422" w14:textId="122BB1BD" w:rsidR="008003C1" w:rsidRDefault="008003C1"/>
    <w:p w14:paraId="314E5AC8" w14:textId="25FD6A33" w:rsidR="008003C1" w:rsidRDefault="008003C1"/>
    <w:p w14:paraId="05DFDB35" w14:textId="77E927F6" w:rsidR="008003C1" w:rsidRDefault="008003C1"/>
    <w:p w14:paraId="46AF12E9" w14:textId="457548F0" w:rsidR="008003C1" w:rsidRDefault="008003C1"/>
    <w:p w14:paraId="3F7C064A" w14:textId="140A1C54" w:rsidR="008003C1" w:rsidRDefault="008003C1"/>
    <w:p w14:paraId="62ED7504" w14:textId="4AAF04A0" w:rsidR="008003C1" w:rsidRDefault="008003C1"/>
    <w:p w14:paraId="375156BA" w14:textId="4678E6ED" w:rsidR="008003C1" w:rsidRDefault="008003C1"/>
    <w:p w14:paraId="273FE545" w14:textId="594B535E" w:rsidR="008003C1" w:rsidRDefault="008003C1"/>
    <w:p w14:paraId="39CA2C0B" w14:textId="1C08753E" w:rsidR="008003C1" w:rsidRDefault="008003C1"/>
    <w:p w14:paraId="0B869DCC" w14:textId="46605F85" w:rsidR="008003C1" w:rsidRDefault="008003C1"/>
    <w:p w14:paraId="7A3D44EF" w14:textId="1B8A79F1" w:rsidR="008003C1" w:rsidRDefault="008003C1"/>
    <w:p w14:paraId="2A74C26E" w14:textId="5C53D26C" w:rsidR="008003C1" w:rsidRDefault="008003C1"/>
    <w:p w14:paraId="16BC589F" w14:textId="52A08801" w:rsidR="008003C1" w:rsidRDefault="008003C1"/>
    <w:p w14:paraId="738E69B3" w14:textId="3979E1FA" w:rsidR="008003C1" w:rsidRDefault="008003C1"/>
    <w:p w14:paraId="13DF07AB" w14:textId="6E35E869" w:rsidR="008003C1" w:rsidRDefault="008003C1"/>
    <w:p w14:paraId="2521F450" w14:textId="22A677C2" w:rsidR="008003C1" w:rsidRDefault="008003C1"/>
    <w:p w14:paraId="674D0705" w14:textId="111337D7" w:rsidR="008003C1" w:rsidRDefault="008003C1"/>
    <w:p w14:paraId="2951F199" w14:textId="47AE40CA" w:rsidR="008003C1" w:rsidRDefault="008003C1"/>
    <w:p w14:paraId="02F866CB" w14:textId="0E8C3252" w:rsidR="008003C1" w:rsidRDefault="008003C1"/>
    <w:p w14:paraId="33732C97" w14:textId="64825B32" w:rsidR="008003C1" w:rsidRDefault="008003C1"/>
    <w:p w14:paraId="77F16BCC" w14:textId="03C15AC3" w:rsidR="008003C1" w:rsidRDefault="008003C1"/>
    <w:p w14:paraId="0F86C81F" w14:textId="77777777" w:rsidR="008003C1" w:rsidRDefault="008003C1" w:rsidP="008003C1">
      <w:pPr>
        <w:ind w:firstLine="709"/>
        <w:jc w:val="center"/>
      </w:pPr>
      <w:r w:rsidRPr="00000E0E">
        <w:lastRenderedPageBreak/>
        <w:t xml:space="preserve">Сравнительная таблица </w:t>
      </w:r>
    </w:p>
    <w:p w14:paraId="40B80336" w14:textId="77777777" w:rsidR="008003C1" w:rsidRDefault="008003C1" w:rsidP="008003C1">
      <w:pPr>
        <w:ind w:firstLine="709"/>
        <w:jc w:val="center"/>
      </w:pPr>
      <w:r w:rsidRPr="00000E0E">
        <w:t xml:space="preserve">к проекту закона Приднестровской Молдавской Республики </w:t>
      </w:r>
    </w:p>
    <w:p w14:paraId="6E600010" w14:textId="77777777" w:rsidR="008003C1" w:rsidRPr="00000E0E" w:rsidRDefault="008003C1" w:rsidP="008003C1">
      <w:pPr>
        <w:ind w:firstLine="709"/>
        <w:jc w:val="center"/>
      </w:pPr>
      <w:r w:rsidRPr="00000E0E">
        <w:t>«О внесении дополнения в Закон Приднестровской Молдавской Республики «О государственной пошлине»</w:t>
      </w:r>
    </w:p>
    <w:p w14:paraId="73EF50A8" w14:textId="77777777" w:rsidR="008003C1" w:rsidRPr="00000E0E" w:rsidRDefault="008003C1" w:rsidP="008003C1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003C1" w:rsidRPr="00000E0E" w14:paraId="1773C38B" w14:textId="77777777" w:rsidTr="00FB562F">
        <w:tc>
          <w:tcPr>
            <w:tcW w:w="4672" w:type="dxa"/>
          </w:tcPr>
          <w:p w14:paraId="3EF63E22" w14:textId="77777777" w:rsidR="008003C1" w:rsidRPr="00000E0E" w:rsidRDefault="008003C1" w:rsidP="00FB562F">
            <w:pPr>
              <w:jc w:val="center"/>
            </w:pPr>
            <w:r w:rsidRPr="00000E0E">
              <w:t>Действующая редакция</w:t>
            </w:r>
          </w:p>
        </w:tc>
        <w:tc>
          <w:tcPr>
            <w:tcW w:w="4673" w:type="dxa"/>
          </w:tcPr>
          <w:p w14:paraId="07BA76FF" w14:textId="77777777" w:rsidR="008003C1" w:rsidRPr="00000E0E" w:rsidRDefault="008003C1" w:rsidP="00FB562F">
            <w:pPr>
              <w:jc w:val="center"/>
            </w:pPr>
            <w:r w:rsidRPr="00000E0E">
              <w:t>Предлагаемая редакция</w:t>
            </w:r>
          </w:p>
        </w:tc>
      </w:tr>
      <w:tr w:rsidR="008003C1" w:rsidRPr="00000E0E" w14:paraId="47D859A8" w14:textId="77777777" w:rsidTr="00FB562F">
        <w:tc>
          <w:tcPr>
            <w:tcW w:w="4672" w:type="dxa"/>
          </w:tcPr>
          <w:p w14:paraId="4F217A18" w14:textId="77777777" w:rsidR="008003C1" w:rsidRPr="00000E0E" w:rsidRDefault="008003C1" w:rsidP="00FB562F">
            <w:pPr>
              <w:ind w:firstLine="454"/>
              <w:jc w:val="both"/>
            </w:pPr>
            <w:r w:rsidRPr="00000E0E">
              <w:t>Отсутствует</w:t>
            </w:r>
            <w:r>
              <w:t>.</w:t>
            </w:r>
          </w:p>
        </w:tc>
        <w:tc>
          <w:tcPr>
            <w:tcW w:w="4673" w:type="dxa"/>
          </w:tcPr>
          <w:p w14:paraId="5255D950" w14:textId="77777777" w:rsidR="008003C1" w:rsidRPr="00184EAD" w:rsidRDefault="008003C1" w:rsidP="00FB562F">
            <w:pPr>
              <w:jc w:val="center"/>
              <w:rPr>
                <w:b/>
              </w:rPr>
            </w:pPr>
            <w:r w:rsidRPr="00184EAD">
              <w:rPr>
                <w:b/>
              </w:rPr>
              <w:t>Статья 9-1. Переходные положения</w:t>
            </w:r>
          </w:p>
          <w:p w14:paraId="427EAFCC" w14:textId="77777777" w:rsidR="008003C1" w:rsidRPr="00184EAD" w:rsidRDefault="008003C1" w:rsidP="00FB562F">
            <w:pPr>
              <w:ind w:firstLine="709"/>
              <w:jc w:val="both"/>
              <w:rPr>
                <w:b/>
              </w:rPr>
            </w:pPr>
          </w:p>
          <w:p w14:paraId="112B07DE" w14:textId="77777777" w:rsidR="008003C1" w:rsidRPr="00184EAD" w:rsidRDefault="008003C1" w:rsidP="00FB562F">
            <w:pPr>
              <w:ind w:firstLine="709"/>
              <w:jc w:val="both"/>
              <w:rPr>
                <w:b/>
              </w:rPr>
            </w:pPr>
            <w:r w:rsidRPr="00184EAD">
              <w:rPr>
                <w:b/>
              </w:rPr>
              <w:t>Установить, что с 1 января 2023 года к сумме государственной пошлины, подлежащей уплате в республиканский бюджет, исчисленной в соответствии с настоящим Законом, применяется коэффициент в размере 1,3.</w:t>
            </w:r>
          </w:p>
          <w:p w14:paraId="3AD9928F" w14:textId="77777777" w:rsidR="008003C1" w:rsidRPr="00000E0E" w:rsidRDefault="008003C1" w:rsidP="00FB562F">
            <w:pPr>
              <w:jc w:val="center"/>
            </w:pPr>
          </w:p>
        </w:tc>
      </w:tr>
    </w:tbl>
    <w:p w14:paraId="2A3D78EA" w14:textId="77777777" w:rsidR="008003C1" w:rsidRDefault="008003C1"/>
    <w:sectPr w:rsidR="0080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1F"/>
    <w:rsid w:val="002D7CF9"/>
    <w:rsid w:val="00487F1F"/>
    <w:rsid w:val="008003C1"/>
    <w:rsid w:val="008F61E7"/>
    <w:rsid w:val="0098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918A"/>
  <w15:chartTrackingRefBased/>
  <w15:docId w15:val="{C8001F45-3B93-4E05-B430-3B30C65C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rsid w:val="008003C1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003C1"/>
    <w:pPr>
      <w:shd w:val="clear" w:color="auto" w:fill="FFFFFF"/>
      <w:spacing w:line="299" w:lineRule="exact"/>
      <w:ind w:firstLine="800"/>
      <w:jc w:val="both"/>
    </w:pPr>
    <w:rPr>
      <w:rFonts w:eastAsiaTheme="minorHAnsi"/>
      <w:sz w:val="22"/>
      <w:szCs w:val="22"/>
      <w:lang w:eastAsia="en-US"/>
    </w:rPr>
  </w:style>
  <w:style w:type="paragraph" w:styleId="a3">
    <w:name w:val="No Spacing"/>
    <w:uiPriority w:val="1"/>
    <w:qFormat/>
    <w:rsid w:val="008003C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0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11142</Characters>
  <Application>Microsoft Office Word</Application>
  <DocSecurity>0</DocSecurity>
  <Lines>92</Lines>
  <Paragraphs>26</Paragraphs>
  <ScaleCrop>false</ScaleCrop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Камбург Сергей Реганович</dc:creator>
  <cp:keywords/>
  <dc:description/>
  <cp:lastModifiedBy>Болотаева Мария Олеговна</cp:lastModifiedBy>
  <cp:revision>2</cp:revision>
  <dcterms:created xsi:type="dcterms:W3CDTF">2022-09-19T11:23:00Z</dcterms:created>
  <dcterms:modified xsi:type="dcterms:W3CDTF">2022-09-19T11:23:00Z</dcterms:modified>
</cp:coreProperties>
</file>