
<file path=[Content_Types].xml><?xml version="1.0" encoding="utf-8"?>
<Types xmlns="http://schemas.openxmlformats.org/package/2006/content-types">
  <Default Extension="rels" ContentType="application/vnd.openxmlformats-package.relationships+xml"/>
  <Default Extension="jpg" ContentType="image/jpeg"/>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spacing w:after="0"/>
        <w:jc w:val="right"/>
        <w:rPr/>
      </w:pPr>
      <w:r>
        <w:drawing>
          <wp:inline xmlns:wp="http://schemas.openxmlformats.org/drawingml/2006/wordprocessingDrawing">
            <wp:extent cy="952500" cx="952500"/>
            <wp:effectExtent l="0" r="0" t="0" b="0"/>
            <wp:docPr id="0" name=""/>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xmlns:r="http://schemas.openxmlformats.org/officeDocument/2006/relationships" r:embed="rId6"/>
                    <a:stretch>
                      <a:fillRect/>
                    </a:stretch>
                  </pic:blipFill>
                  <pic:spPr>
                    <a:xfrm>
                      <a:off x="0" y="0"/>
                      <a:ext cy="952500" cx="952500"/>
                    </a:xfrm>
                    <a:prstGeom prst="rect"/>
                  </pic:spPr>
                </pic:pic>
              </a:graphicData>
            </a:graphic>
          </wp:inline>
        </w:drawing>
      </w:r>
    </w:p>
    <w:p>
      <w:pPr>
        <w:pStyle w:val="NormalWeb"/>
        <w:jc w:val="right"/>
        <w:rPr/>
      </w:pPr>
      <w:r>
        <w:fldChar w:fldCharType="begin" w:fldLock="false" w:dirty="false"/>
      </w:r>
      <w:r>
        <w:rPr/>
        <w:instrText xml:space="preserve"> HYPERLINK "https://pravopmr.ru/View.aspx?id=gLEjs4CNMzdfTxprGSWRbw%3d%3d" </w:instrText>
      </w:r>
      <w:r>
        <w:fldChar w:fldCharType="separate"/>
      </w:r>
      <w:r>
        <w:rPr>
          <w:rStyle w:val="Hyperlink"/>
        </w:rPr>
        <w:t>ссылка на документ</w:t>
      </w:r>
      <w:r>
        <w:fldChar w:fldCharType="end"/>
      </w:r>
    </w:p>
    <w:p>
      <w:pPr>
        <w:pStyle w:val="NormalWeb"/>
        <w:jc w:val="center"/>
        <w:rPr>
          <w:i w:val="true"/>
          <w:sz w:val="24"/>
        </w:rPr>
      </w:pPr>
      <w:r>
        <w:rPr>
          <w:i w:val="true"/>
          <w:sz w:val="24"/>
        </w:rPr>
        <w:t>(редакция № 6 на 12 апреля 2025 г.)</w:t>
      </w:r>
    </w:p>
    <w:p>
      <w:pPr>
        <w:pStyle w:val="head"/>
        <w:rPr/>
      </w:pPr>
      <w:r>
        <w:rPr>
          <w:b w:val="true"/>
        </w:rPr>
        <w:t>ПРАВИТЕЛЬСТВО ПРИДНЕСТРОВСКОЙ МОЛДАВСКОЙ РЕСПУБЛИКИ</w:t>
      </w:r>
    </w:p>
    <w:p>
      <w:pPr>
        <w:pStyle w:val="head"/>
        <w:rPr/>
      </w:pPr>
      <w:r>
        <w:rPr>
          <w:b w:val="true"/>
        </w:rPr>
        <w:t>ПОСТАНОВЛЕНИЕ</w:t>
      </w:r>
    </w:p>
    <w:p>
      <w:pPr>
        <w:pStyle w:val="head"/>
        <w:rPr/>
      </w:pPr>
      <w:r>
        <w:rPr>
          <w:b w:val="true"/>
        </w:rPr>
        <w:t>от 26 ноября 2013 г.</w:t>
      </w:r>
      <w:r>
        <w:br/>
      </w:r>
      <w:r>
        <w:rPr>
          <w:b w:val="true"/>
        </w:rPr>
        <w:t>№ 282</w:t>
      </w:r>
    </w:p>
    <w:p>
      <w:pPr>
        <w:pStyle w:val="head"/>
        <w:rPr/>
      </w:pPr>
      <w:r>
        <w:rPr>
          <w:b w:val="true"/>
        </w:rPr>
        <w:t>Об утверждении Положения о лицензировании деятельности по организации и проведению азартных игр и пари в Приднестровской Молдавской Республике</w:t>
      </w:r>
    </w:p>
    <w:p>
      <w:pPr>
        <w:pStyle w:val="head"/>
        <w:rPr/>
      </w:pPr>
      <w:r>
        <w:rPr/>
        <w:t>САЗ (02.12.2013) № 13-47</w:t>
      </w:r>
    </w:p>
    <w:p>
      <w:pPr>
        <w:spacing w:lineRule="auto"/>
        <w:ind w:firstLine="480"/>
        <w:jc w:val="both"/>
        <w:rPr>
          <w:sz w:val="24"/>
        </w:rPr>
      </w:pPr>
      <w:r>
        <w:rPr>
          <w:sz w:val="24"/>
        </w:rPr>
        <w:t xml:space="preserve">В соответствии со статьей 76-6 </w:t>
      </w:r>
      <w:r>
        <w:fldChar w:fldCharType="begin" w:fldLock="false" w:dirty="false"/>
      </w:r>
      <w:r>
        <w:rPr/>
        <w:instrText xml:space="preserve"> HYPERLINK "https://pravopmr.ru/View.aspx?id=oZ7BtSD0j0NOAw8quzBJBQ%3d%3d" \o "(ВСТУПИЛ В СИЛУ 17.01.1996) Конституция Приднестровской Молдавской Республики" </w:instrText>
      </w:r>
      <w:r>
        <w:fldChar w:fldCharType="separate"/>
      </w:r>
      <w:r>
        <w:fldChar w:fldCharType="end"/>
      </w:r>
      <w:r>
        <w:fldChar w:fldCharType="begin" w:fldLock="false" w:dirty="false"/>
      </w:r>
      <w:r>
        <w:rPr/>
        <w:instrText xml:space="preserve"> HYPERLINK "https://pravopmr.ru/View.aspx?id=oZ7BtSD0j0NOAw8quzBJBQ%3d%3d" \o "(ВСТУПИЛ В СИЛУ 17.01.1996) Конституция Приднестровской Молдавской Республики" </w:instrText>
      </w:r>
      <w:r>
        <w:fldChar w:fldCharType="separate"/>
      </w:r>
      <w:r>
        <w:rPr>
          <w:rStyle w:val="Hyperlink"/>
          <w:color w:val="0066CC"/>
          <w:sz w:val="24"/>
        </w:rPr>
        <w:t>Конституции Приднестровской Молдавской Республики</w:t>
      </w:r>
      <w:r>
        <w:fldChar w:fldCharType="end"/>
      </w:r>
      <w:r>
        <w:rPr>
          <w:sz w:val="24"/>
        </w:rPr>
        <w:t xml:space="preserve">, статьей 25 </w:t>
      </w:r>
      <w:r>
        <w:fldChar w:fldCharType="begin" w:fldLock="false" w:dirty="false"/>
      </w:r>
      <w:r>
        <w:rPr/>
        <w:instrText xml:space="preserve"> HYPERLINK "https://pravopmr.ru/View.aspx?id=xglA1LFC2s1scRyChejgHQ%3d%3d" \o "(ВСТУПИЛ В СИЛУ 30.12.2011) О Правительстве Приднестровской Молдавской Республики" </w:instrText>
      </w:r>
      <w:r>
        <w:fldChar w:fldCharType="separate"/>
      </w:r>
      <w:r>
        <w:fldChar w:fldCharType="end"/>
      </w:r>
      <w:r>
        <w:fldChar w:fldCharType="begin" w:fldLock="false" w:dirty="false"/>
      </w:r>
      <w:r>
        <w:rPr/>
        <w:instrText xml:space="preserve"> HYPERLINK "https://pravopmr.ru/View.aspx?id=xglA1LFC2s1scRyChejgHQ%3d%3d" \o "(ВСТУПИЛ В СИЛУ 30.12.2011) О Правительстве Приднестровской Молдавской Республики" </w:instrText>
      </w:r>
      <w:r>
        <w:fldChar w:fldCharType="separate"/>
      </w:r>
      <w:r>
        <w:rPr>
          <w:rStyle w:val="Hyperlink"/>
          <w:color w:val="0066CC"/>
          <w:sz w:val="24"/>
        </w:rPr>
        <w:t>Конституционного закона Приднестровской Молдавской Республики от 30 ноября 2011 года № 224-КЗ-V "О Правительстве Приднестровской Молдавской Республики"</w:t>
      </w:r>
      <w:r>
        <w:fldChar w:fldCharType="end"/>
      </w:r>
      <w:r>
        <w:rPr>
          <w:sz w:val="24"/>
        </w:rPr>
        <w:t xml:space="preserve"> (САЗ 11-48) в действующей редакции, во исполнение </w:t>
      </w:r>
      <w:r>
        <w:fldChar w:fldCharType="begin" w:fldLock="false" w:dirty="false"/>
      </w:r>
      <w:r>
        <w:rPr/>
        <w:instrText xml:space="preserve"> HYPERLINK "https://pravopmr.ru/View.aspx?id=wTpN2GmHR6e4HBSqY36new%3d%3d" \o "(ВСТУПИЛ В СИЛУ 10.07.2002) О лицензировании отдельных видов деятельности" </w:instrText>
      </w:r>
      <w:r>
        <w:fldChar w:fldCharType="separate"/>
      </w:r>
      <w:r>
        <w:fldChar w:fldCharType="end"/>
      </w:r>
      <w:r>
        <w:fldChar w:fldCharType="begin" w:fldLock="false" w:dirty="false"/>
      </w:r>
      <w:r>
        <w:rPr/>
        <w:instrText xml:space="preserve"> HYPERLINK "https://pravopmr.ru/View.aspx?id=wTpN2GmHR6e4HBSqY36new%3d%3d" \o "(ВСТУПИЛ В СИЛУ 10.07.2002) О лицензировании отдельных видов деятельности" </w:instrText>
      </w:r>
      <w:r>
        <w:fldChar w:fldCharType="separate"/>
      </w:r>
      <w:r>
        <w:rPr>
          <w:rStyle w:val="Hyperlink"/>
          <w:color w:val="0066CC"/>
          <w:sz w:val="24"/>
        </w:rPr>
        <w:t>Закона Приднестровской Молдавской Республики от 10 июля 2002 года № 151-З-III "О лицензировании отдельных видов деятельности"</w:t>
      </w:r>
      <w:r>
        <w:fldChar w:fldCharType="end"/>
      </w:r>
      <w:r>
        <w:rPr>
          <w:sz w:val="24"/>
        </w:rPr>
        <w:t xml:space="preserve"> (САЗ 02-28) в действующей редакции, </w:t>
      </w:r>
      <w:r>
        <w:fldChar w:fldCharType="begin" w:fldLock="false" w:dirty="false"/>
      </w:r>
      <w:r>
        <w:rPr/>
        <w:instrText xml:space="preserve"> HYPERLINK "/Default.aspx?od=&amp;vd=522&amp;nd=211-З-III&amp;dd=19.08.2016&amp;ad=29.10.2018&amp;action=link" </w:instrText>
      </w:r>
      <w:r>
        <w:fldChar w:fldCharType="separate"/>
      </w:r>
      <w:r>
        <w:fldChar w:fldCharType="end"/>
      </w:r>
      <w:r>
        <w:fldChar w:fldCharType="begin" w:fldLock="false" w:dirty="false"/>
      </w:r>
      <w:r>
        <w:rPr/>
        <w:instrText xml:space="preserve"> HYPERLINK "https://pravopmr.ru/View.aspx?id=X1rbdhUKy%2fyHsMo3OsDoIw%3d%3d" \o "(ВСТУПИЛ В СИЛУ 22.08.2016) Об организации предоставления государственных услуг" </w:instrText>
      </w:r>
      <w:r>
        <w:fldChar w:fldCharType="separate"/>
      </w:r>
      <w:r>
        <w:rPr>
          <w:rStyle w:val="Hyperlink"/>
          <w:color w:val="0066CC"/>
          <w:sz w:val="24"/>
        </w:rPr>
        <w:t>Закона Приднестровской Молдавской Республики от 19 августа 2016 года № 211-З-VI "Об организации предоставления государственных услуг"</w:t>
      </w:r>
      <w:r>
        <w:fldChar w:fldCharType="end"/>
      </w:r>
      <w:r>
        <w:rPr>
          <w:sz w:val="24"/>
        </w:rPr>
        <w:t xml:space="preserve"> (САЗ 16-33) в действующей редакции, на основании </w:t>
      </w:r>
      <w:r>
        <w:fldChar w:fldCharType="begin" w:fldLock="false" w:dirty="false"/>
      </w:r>
      <w:r>
        <w:rPr/>
        <w:instrText xml:space="preserve"> HYPERLINK "https://pravopmr.ru/View.aspx?id=AYhlfknZXsQRt06jNBJO3g%3d%3d" \o "(ВСТУПИЛ В СИЛУ 01.01.2006) О деятельности игорных заведений" </w:instrText>
      </w:r>
      <w:r>
        <w:fldChar w:fldCharType="separate"/>
      </w:r>
      <w:r>
        <w:fldChar w:fldCharType="end"/>
      </w:r>
      <w:r>
        <w:fldChar w:fldCharType="begin" w:fldLock="false" w:dirty="false"/>
      </w:r>
      <w:r>
        <w:rPr/>
        <w:instrText xml:space="preserve"> HYPERLINK "https://pravopmr.ru/View.aspx?id=AYhlfknZXsQRt06jNBJO3g%3d%3d" \o "(ВСТУПИЛ В СИЛУ 01.01.2006) О деятельности игорных заведений" </w:instrText>
      </w:r>
      <w:r>
        <w:fldChar w:fldCharType="separate"/>
      </w:r>
      <w:r>
        <w:rPr>
          <w:rStyle w:val="Hyperlink"/>
          <w:color w:val="0066CC"/>
          <w:sz w:val="24"/>
        </w:rPr>
        <w:t>Закона Приднестровской Молдавской Республики от 6 декабря 2005 года № 688-З-III "О деятельности игорных заведений"</w:t>
      </w:r>
      <w:r>
        <w:fldChar w:fldCharType="end"/>
      </w:r>
      <w:r>
        <w:rPr>
          <w:sz w:val="24"/>
        </w:rPr>
        <w:t xml:space="preserve"> (САЗ 05-50) в действующей редакции, </w:t>
      </w:r>
      <w:r>
        <w:fldChar w:fldCharType="begin" w:fldLock="false" w:dirty="false"/>
      </w:r>
      <w:r>
        <w:rPr/>
        <w:instrText xml:space="preserve"> HYPERLINK "https://pravopmr.ru/View.aspx?id=6xz0%2fOPfxdtJ3cMDB9x9yw%3d%3d" \o "(ВСТУПИЛ В СИЛУ 14.03.2018) Об основных принципах государственного регулирования отдельных видов деятельности на территории Приднестровской Молдавской Республики" </w:instrText>
      </w:r>
      <w:r>
        <w:fldChar w:fldCharType="separate"/>
      </w:r>
      <w:r>
        <w:fldChar w:fldCharType="end"/>
      </w:r>
      <w:r>
        <w:fldChar w:fldCharType="begin" w:fldLock="false" w:dirty="false"/>
      </w:r>
      <w:r>
        <w:rPr/>
        <w:instrText xml:space="preserve"> HYPERLINK "https://pravopmr.ru/View.aspx?id=6xz0%2fOPfxdtJ3cMDB9x9yw%3d%3d" \o "(ВСТУПИЛ В СИЛУ 14.03.2018) Об основных принципах государственного регулирования отдельных видов деятельности на территории Приднестровской Молдавской Республики" </w:instrText>
      </w:r>
      <w:r>
        <w:fldChar w:fldCharType="separate"/>
      </w:r>
      <w:r>
        <w:rPr>
          <w:rStyle w:val="Hyperlink"/>
          <w:color w:val="0066CC"/>
          <w:sz w:val="24"/>
        </w:rPr>
        <w:t>Постановления Правительства Приднестровской Молдавской Республики от 12 февраля 2018 года № 42 "Об основных принципах государственного регулирования отдельных видов деятельности на территории Приднестровской Молдавской Республики"</w:t>
      </w:r>
      <w:r>
        <w:fldChar w:fldCharType="end"/>
      </w:r>
      <w:r>
        <w:rPr>
          <w:sz w:val="24"/>
        </w:rPr>
        <w:t xml:space="preserve"> (САЗ 18-7) с изменениями, внесенными </w:t>
      </w:r>
      <w:r>
        <w:fldChar w:fldCharType="begin" w:fldLock="false" w:dirty="false"/>
      </w:r>
      <w:r>
        <w:rPr/>
        <w:instrText xml:space="preserve"> HYPERLINK "https://pravopmr.ru/View.aspx?id=pPpTmYwi1NocV7IKcPrrUQ%3d%3d" \o "(ВСТУПИЛ В СИЛУ 12.06.2018) О внесении изменений в Постановление Правительства Приднестровской Молдавской Республики от 12 февраля 2018 года № 42 «Об основных принципах государственного регулирования отдельных видов деятельности на территории Приднестровской Молдавской Республики»" </w:instrText>
      </w:r>
      <w:r>
        <w:fldChar w:fldCharType="separate"/>
      </w:r>
      <w:r>
        <w:fldChar w:fldCharType="end"/>
      </w:r>
      <w:r>
        <w:fldChar w:fldCharType="begin" w:fldLock="false" w:dirty="false"/>
      </w:r>
      <w:r>
        <w:rPr/>
        <w:instrText xml:space="preserve"> HYPERLINK "https://pravopmr.ru/View.aspx?id=pPpTmYwi1NocV7IKcPrrUQ%3d%3d" \o "(ВСТУПИЛ В СИЛУ 12.06.2018) О внесении изменений в Постановление Правительства Приднестровской Молдавской Республики от 12 февраля 2018 года № 42 «Об основных принципах государственного регулирования отдельных видов деятельности на территории Приднестровской Молдавской Республики»" </w:instrText>
      </w:r>
      <w:r>
        <w:fldChar w:fldCharType="separate"/>
      </w:r>
      <w:r>
        <w:rPr>
          <w:rStyle w:val="Hyperlink"/>
          <w:color w:val="0066CC"/>
          <w:sz w:val="24"/>
        </w:rPr>
        <w:t>Постановлением Правительства Приднестровской Молдавской Республики от 11 июня 2018 года № 192</w:t>
      </w:r>
      <w:r>
        <w:fldChar w:fldCharType="end"/>
      </w:r>
      <w:r>
        <w:rPr>
          <w:sz w:val="24"/>
        </w:rPr>
        <w:t xml:space="preserve"> (САЗ 18-24), </w:t>
      </w:r>
      <w:r>
        <w:fldChar w:fldCharType="begin" w:fldLock="false" w:dirty="false"/>
      </w:r>
      <w:r>
        <w:rPr/>
        <w:instrText xml:space="preserve"> HYPERLINK "#" </w:instrText>
      </w:r>
      <w:r>
        <w:fldChar w:fldCharType="separate"/>
      </w:r>
      <w:r>
        <w:fldChar w:fldCharType="end"/>
      </w:r>
      <w:r>
        <w:fldChar w:fldCharType="begin" w:fldLock="false" w:dirty="false"/>
      </w:r>
      <w:r>
        <w:rPr/>
        <w:instrText xml:space="preserve"> HYPERLINK "#" </w:instrText>
      </w:r>
      <w:r>
        <w:fldChar w:fldCharType="separate"/>
      </w:r>
      <w:r>
        <w:rPr>
          <w:rStyle w:val="Hyperlink"/>
          <w:color w:val="0066CC"/>
          <w:sz w:val="24"/>
        </w:rPr>
        <w:t>Постановления Правительства Приднестровской Молдавской Республики от 27 апреля 2017 года № 86 "Об утверждении Положения, структуры и предельной штатной численности Министерства финансов Приднестровской Молдавской Республики"</w:t>
      </w:r>
      <w:r>
        <w:fldChar w:fldCharType="end"/>
      </w:r>
      <w:r>
        <w:rPr>
          <w:sz w:val="24"/>
        </w:rPr>
        <w:t xml:space="preserve"> (САЗ 17-19) с изменениями и дополнениями, внесенными </w:t>
      </w:r>
      <w:r>
        <w:fldChar w:fldCharType="begin" w:fldLock="false" w:dirty="false"/>
      </w:r>
      <w:r>
        <w:rPr/>
        <w:instrText xml:space="preserve"> HYPERLINK "https://pravopmr.ru/View.aspx?id=1TJwO7HoCh3GARCqQjaXDA%3d%3d" \o "(ВСТУПИЛ В СИЛУ 05.09.2017) О внесении изменений и дополнений в Постановление Правительства Приднестровской Молдавской Республики от 27 апреля 2017 года № 86 «Об утверждении Положения, структуры  и предельной штатной численности Министерства финансов Приднестровской Молдавской Республики»" </w:instrText>
      </w:r>
      <w:r>
        <w:fldChar w:fldCharType="separate"/>
      </w:r>
      <w:r>
        <w:fldChar w:fldCharType="end"/>
      </w:r>
      <w:r>
        <w:fldChar w:fldCharType="begin" w:fldLock="false" w:dirty="false"/>
      </w:r>
      <w:r>
        <w:rPr/>
        <w:instrText xml:space="preserve"> HYPERLINK "https://pravopmr.ru/View.aspx?id=1TJwO7HoCh3GARCqQjaXDA%3d%3d" \o "(ВСТУПИЛ В СИЛУ 05.09.2017) О внесении изменений и дополнений в Постановление Правительства Приднестровской Молдавской Республики от 27 апреля 2017 года № 86 «Об утверждении Положения, структуры  и предельной штатной численности Министерства финансов Приднестровской Молдавской Республики»" </w:instrText>
      </w:r>
      <w:r>
        <w:fldChar w:fldCharType="separate"/>
      </w:r>
      <w:r>
        <w:rPr>
          <w:rStyle w:val="Hyperlink"/>
          <w:color w:val="0066CC"/>
          <w:sz w:val="24"/>
        </w:rPr>
        <w:t>постановлениями Правительства Приднестровской Молдавской Республики от 30 августа 2017 года № 226</w:t>
      </w:r>
      <w:r>
        <w:fldChar w:fldCharType="end"/>
      </w:r>
      <w:r>
        <w:rPr>
          <w:sz w:val="24"/>
        </w:rPr>
        <w:t xml:space="preserve">  (САЗ 17-36), </w:t>
      </w:r>
      <w:r>
        <w:fldChar w:fldCharType="begin" w:fldLock="false" w:dirty="false"/>
      </w:r>
      <w:r>
        <w:rPr/>
        <w:instrText xml:space="preserve"> HYPERLINK "https://pravopmr.ru/View.aspx?id=dS08k0VuXvFVVOVdQv0AyQ%3d%3d" \o "(ВСТУПИЛ В СИЛУ 11.06.2018) О внесении изменения в Постановление Правительства Приднестровской Молдавской Республики от 27 апреля 2017 года № 86 «Об утверждении Положения, структуры и предельной штатной численности Министерства финансов Приднестровской Молдавской Республики»" </w:instrText>
      </w:r>
      <w:r>
        <w:fldChar w:fldCharType="separate"/>
      </w:r>
      <w:r>
        <w:fldChar w:fldCharType="end"/>
      </w:r>
      <w:r>
        <w:fldChar w:fldCharType="begin" w:fldLock="false" w:dirty="false"/>
      </w:r>
      <w:r>
        <w:rPr/>
        <w:instrText xml:space="preserve"> HYPERLINK "https://pravopmr.ru/View.aspx?id=dS08k0VuXvFVVOVdQv0AyQ%3d%3d" \o "(ВСТУПИЛ В СИЛУ 11.06.2018) О внесении изменения в Постановление Правительства Приднестровской Молдавской Республики от 27 апреля 2017 года № 86 «Об утверждении Положения, структуры и предельной штатной численности Министерства финансов Приднестровской Молдавской Республики»" </w:instrText>
      </w:r>
      <w:r>
        <w:fldChar w:fldCharType="separate"/>
      </w:r>
      <w:r>
        <w:rPr>
          <w:rStyle w:val="Hyperlink"/>
          <w:color w:val="0066CC"/>
          <w:sz w:val="24"/>
        </w:rPr>
        <w:t>от 31 мая 2018 года № 177</w:t>
      </w:r>
      <w:r>
        <w:fldChar w:fldCharType="end"/>
      </w:r>
      <w:r>
        <w:rPr>
          <w:sz w:val="24"/>
        </w:rPr>
        <w:t xml:space="preserve"> (САЗ 18-23), </w:t>
      </w:r>
      <w:r>
        <w:fldChar w:fldCharType="begin" w:fldLock="false" w:dirty="false"/>
      </w:r>
      <w:r>
        <w:rPr/>
        <w:instrText xml:space="preserve"> HYPERLINK "/Default.aspx?od=&amp;vd=&amp;nd=287&amp;dd=17.08.2018&amp;ad=29.10.2018&amp;action=link" </w:instrText>
      </w:r>
      <w:r>
        <w:fldChar w:fldCharType="separate"/>
      </w:r>
      <w:r>
        <w:fldChar w:fldCharType="end"/>
      </w:r>
      <w:r>
        <w:fldChar w:fldCharType="begin" w:fldLock="false" w:dirty="false"/>
      </w:r>
      <w:r>
        <w:rPr/>
        <w:instrText xml:space="preserve"> HYPERLINK "https://pravopmr.ru/View.aspx?id=xAFJ7AKHkeBRfbVkIy%2bx3Q%3d%3d" \o "(ВСТУПИЛ В СИЛУ 01.11.2018) О внесении изменения в Постановление Правительства Приднестровской Молдавской Республики от 27 апреля 2017 года № 86 «Об утверждении Положения, структуры и предельной штатной численности Министерства финансов Приднестровской Молдавской Республики»" </w:instrText>
      </w:r>
      <w:r>
        <w:fldChar w:fldCharType="separate"/>
      </w:r>
      <w:r>
        <w:rPr>
          <w:rStyle w:val="Hyperlink"/>
          <w:color w:val="0066CC"/>
          <w:sz w:val="24"/>
        </w:rPr>
        <w:t>от 17 августа 2018 года № 287</w:t>
      </w:r>
      <w:r>
        <w:fldChar w:fldCharType="end"/>
      </w:r>
      <w:r>
        <w:rPr>
          <w:sz w:val="24"/>
        </w:rPr>
        <w:t xml:space="preserve"> (САЗ 18-33), в целях установления порядка лицензирования деятельности по организации и проведению азартных игр и пари, Правительство Приднестровской Молдавской Республики постановляет:</w:t>
      </w:r>
    </w:p>
    <w:p>
      <w:pPr>
        <w:spacing w:lineRule="auto"/>
        <w:ind w:firstLine="480"/>
        <w:jc w:val="both"/>
        <w:rPr>
          <w:sz w:val="24"/>
        </w:rPr>
      </w:pPr>
      <w:r>
        <w:rPr>
          <w:b w:val="true"/>
          <w:sz w:val="24"/>
        </w:rPr>
        <w:t>1.</w:t>
      </w:r>
      <w:r>
        <w:rPr>
          <w:sz w:val="24"/>
        </w:rPr>
        <w:t xml:space="preserve"> Утвердить:</w:t>
      </w:r>
    </w:p>
    <w:p>
      <w:pPr>
        <w:spacing w:lineRule="auto"/>
        <w:ind w:firstLine="480"/>
        <w:jc w:val="both"/>
        <w:rPr>
          <w:sz w:val="24"/>
        </w:rPr>
      </w:pPr>
      <w:r>
        <w:rPr>
          <w:b w:val="true"/>
          <w:i w:val="true"/>
          <w:sz w:val="24"/>
        </w:rPr>
        <w:t>а)</w:t>
      </w:r>
      <w:r>
        <w:rPr>
          <w:sz w:val="24"/>
        </w:rPr>
        <w:t xml:space="preserve"> Положение о лицензировании деятельности по организации и проведению азартных игр и пари в Приднестровской Молдавской Республике (Приложение № 1);</w:t>
      </w:r>
    </w:p>
    <w:p>
      <w:pPr>
        <w:spacing w:lineRule="auto"/>
        <w:ind w:firstLine="480"/>
        <w:jc w:val="both"/>
        <w:rPr>
          <w:sz w:val="24"/>
        </w:rPr>
      </w:pPr>
      <w:r>
        <w:rPr>
          <w:b w:val="true"/>
          <w:i w:val="true"/>
          <w:sz w:val="24"/>
        </w:rPr>
        <w:t>б)</w:t>
      </w:r>
      <w:r>
        <w:rPr>
          <w:sz w:val="24"/>
        </w:rPr>
        <w:t xml:space="preserve"> форму разрешения на получение лицензии для осуществления деятельности по организации и проведению азартных игр и пари (Приложение № 2).</w:t>
      </w:r>
    </w:p>
    <w:p>
      <w:pPr>
        <w:spacing w:lineRule="auto"/>
        <w:ind w:firstLine="480"/>
        <w:jc w:val="both"/>
        <w:rPr>
          <w:sz w:val="24"/>
        </w:rPr>
      </w:pPr>
      <w:r>
        <w:rPr>
          <w:b w:val="true"/>
          <w:sz w:val="24"/>
        </w:rPr>
        <w:t>2.</w:t>
      </w:r>
      <w:r>
        <w:rPr>
          <w:sz w:val="24"/>
        </w:rPr>
        <w:t xml:space="preserve"> Настоящее Постановление вступает в силу со дня признания утратившим силу </w:t>
      </w:r>
      <w:r>
        <w:fldChar w:fldCharType="begin" w:fldLock="false" w:dirty="false"/>
      </w:r>
      <w:r>
        <w:rPr/>
        <w:instrText xml:space="preserve"> HYPERLINK "https://pravopmr.ru/View.aspx?id=yrcfc8rt8dNyS1TC2zoLQg%3d%3d" \o "(УТРАТИЛ СИЛУ 14.01.2014) Об утверждении Положения о лицензировании деятельности по организации и проведению азартных игр и пари в Приднестровской Молдавской Республике" </w:instrText>
      </w:r>
      <w:r>
        <w:fldChar w:fldCharType="separate"/>
      </w:r>
      <w:r>
        <w:rPr>
          <w:rStyle w:val="Hyperlink"/>
          <w:color w:val="0066CC"/>
          <w:sz w:val="24"/>
        </w:rPr>
        <w:t>Указа Президента Приднестровской Молдавской Республики от 23 мая 2012 года № 346 "Об утверждении Положения о лицензировании деятельности по организации и проведению азартных игр и пари в Приднестровской Молдавской Республике"</w:t>
      </w:r>
      <w:r>
        <w:fldChar w:fldCharType="end"/>
      </w:r>
      <w:r>
        <w:rPr>
          <w:sz w:val="24"/>
        </w:rPr>
        <w:t xml:space="preserve"> (САЗ 12-22).</w:t>
      </w:r>
    </w:p>
    <w:p>
      <w:pPr>
        <w:pStyle w:val="NormalWeb"/>
        <w:spacing w:lineRule="auto"/>
        <w:jc w:val="left"/>
        <w:rPr>
          <w:sz w:val="24"/>
        </w:rPr>
      </w:pPr>
      <w:r>
        <w:rPr>
          <w:b w:val="true"/>
          <w:sz w:val="24"/>
        </w:rPr>
        <w:t>Председатель Правительства</w:t>
      </w:r>
      <w:r>
        <w:br/>
      </w:r>
      <w:r>
        <w:rPr>
          <w:b w:val="true"/>
          <w:sz w:val="24"/>
        </w:rPr>
        <w:t>Приднестровской Молдавской Республики Т. Туранская</w:t>
      </w:r>
    </w:p>
    <w:p>
      <w:pPr>
        <w:pStyle w:val="NormalWeb"/>
        <w:spacing w:lineRule="auto"/>
        <w:jc w:val="left"/>
        <w:rPr>
          <w:sz w:val="24"/>
        </w:rPr>
      </w:pPr>
      <w:r>
        <w:rPr>
          <w:sz w:val="24"/>
        </w:rPr>
        <w:t>г. Тирасполь</w:t>
      </w:r>
      <w:r>
        <w:br/>
      </w:r>
      <w:r>
        <w:rPr>
          <w:sz w:val="24"/>
        </w:rPr>
        <w:t>26 ноября 2013 г.</w:t>
      </w:r>
      <w:r>
        <w:br/>
      </w:r>
      <w:r>
        <w:rPr>
          <w:sz w:val="24"/>
        </w:rPr>
        <w:t>№ 282</w:t>
      </w:r>
    </w:p>
    <w:p>
      <w:pPr>
        <w:pStyle w:val="NormalWeb"/>
        <w:spacing w:lineRule="auto"/>
        <w:jc w:val="right"/>
        <w:rPr>
          <w:sz w:val="24"/>
        </w:rPr>
      </w:pPr>
      <w:r>
        <w:rPr>
          <w:sz w:val="24"/>
        </w:rPr>
        <w:t>Приложение № 1</w:t>
      </w:r>
      <w:r>
        <w:br/>
      </w:r>
      <w:r>
        <w:rPr>
          <w:sz w:val="24"/>
        </w:rPr>
        <w:t>к Постановлению Правительства</w:t>
      </w:r>
      <w:r>
        <w:br/>
      </w:r>
      <w:r>
        <w:rPr>
          <w:sz w:val="24"/>
        </w:rPr>
        <w:t>Приднестровской Молдавской Республики</w:t>
      </w:r>
      <w:r>
        <w:br/>
      </w:r>
      <w:r>
        <w:rPr>
          <w:sz w:val="24"/>
        </w:rPr>
        <w:t>от 26 ноября 2013 года № 282</w:t>
      </w:r>
    </w:p>
    <w:p>
      <w:pPr>
        <w:pStyle w:val="Heading1"/>
        <w:spacing w:lineRule="auto"/>
        <w:ind w:firstLine="480"/>
        <w:jc w:val="center"/>
        <w:rPr/>
      </w:pPr>
      <w:r>
        <w:rPr/>
        <w:t>Положение</w:t>
      </w:r>
      <w:r>
        <w:br/>
      </w:r>
      <w:r>
        <w:rPr/>
        <w:t>о лицензировании деятельности по организации и проведению азартных игр и пари в Приднестровской Молдавской Республике</w:t>
      </w:r>
    </w:p>
    <w:p>
      <w:pPr>
        <w:pStyle w:val="Heading2"/>
        <w:spacing w:lineRule="auto"/>
        <w:ind w:firstLine="480"/>
        <w:jc w:val="center"/>
        <w:rPr/>
      </w:pPr>
      <w:r>
        <w:rPr>
          <w:b w:val="true"/>
        </w:rPr>
        <w:t>1.</w:t>
      </w:r>
      <w:r>
        <w:rPr/>
        <w:t xml:space="preserve"> Общие положения</w:t>
      </w:r>
    </w:p>
    <w:p>
      <w:pPr>
        <w:spacing w:lineRule="auto"/>
        <w:ind w:firstLine="480"/>
        <w:jc w:val="both"/>
        <w:rPr>
          <w:sz w:val="24"/>
        </w:rPr>
      </w:pPr>
      <w:r>
        <w:rPr>
          <w:sz w:val="24"/>
        </w:rPr>
        <w:t>1. Настоящее Положение определяет порядок лицензирования деятельности по организации и проведению азартных игр и пари, осуществляемой на территории Приднестровской Молдавской Республики.</w:t>
      </w:r>
    </w:p>
    <w:p>
      <w:pPr>
        <w:spacing w:lineRule="auto"/>
        <w:ind w:firstLine="480"/>
        <w:jc w:val="both"/>
        <w:rPr>
          <w:sz w:val="24"/>
        </w:rPr>
      </w:pPr>
      <w:r>
        <w:rPr>
          <w:sz w:val="24"/>
        </w:rPr>
        <w:t>2. Деятельность по организации и проведению азартных игр и пари могут осуществлять исключительно коммерческие организации, созданные и зарегистрированные на территории Приднестровской Молдавской Республики, на основании лицензии, выданной в соответствии с действующим законодательством Приднестровской Молдавской Республики.</w:t>
      </w:r>
    </w:p>
    <w:p>
      <w:pPr>
        <w:spacing w:lineRule="auto"/>
        <w:ind w:firstLine="480"/>
        <w:jc w:val="both"/>
        <w:rPr>
          <w:sz w:val="24"/>
        </w:rPr>
      </w:pPr>
      <w:r>
        <w:rPr>
          <w:sz w:val="24"/>
        </w:rPr>
        <w:t>3. В настоящем Положении используются следующие понятия и определения:</w:t>
      </w:r>
    </w:p>
    <w:p>
      <w:pPr>
        <w:spacing w:lineRule="auto"/>
        <w:ind w:firstLine="480"/>
        <w:jc w:val="both"/>
        <w:rPr>
          <w:sz w:val="24"/>
        </w:rPr>
      </w:pPr>
      <w:r>
        <w:rPr>
          <w:sz w:val="24"/>
        </w:rPr>
        <w:t>а) лицензия - специальное разрешение на осуществление деятельности по организации и проведению азартных игр и пари при обязательном соблюдении лицензионных требований и условий, выданное лицензирующим органом юридическому лицу;</w:t>
      </w:r>
    </w:p>
    <w:p>
      <w:pPr>
        <w:spacing w:lineRule="auto"/>
        <w:ind w:firstLine="480"/>
        <w:jc w:val="both"/>
        <w:rPr>
          <w:sz w:val="24"/>
        </w:rPr>
      </w:pPr>
      <w:r>
        <w:rPr>
          <w:sz w:val="24"/>
        </w:rPr>
        <w:t>б) лицензиат - юридическое лицо, имеющее лицензию на осуществление деятельности по организации и проведению азартных игр и пари;</w:t>
      </w:r>
    </w:p>
    <w:p>
      <w:pPr>
        <w:spacing w:lineRule="auto"/>
        <w:ind w:firstLine="480"/>
        <w:jc w:val="both"/>
        <w:rPr>
          <w:sz w:val="24"/>
        </w:rPr>
      </w:pPr>
      <w:r>
        <w:rPr>
          <w:sz w:val="24"/>
        </w:rPr>
        <w:t>в) соискатель лицензии - юридическое лицо, обратившееся в уполномоченный исполнительный орган государственной власти, осуществляющий лицензирование в соответствии с действующим законодательством, с заявлением о выдаче лицензии на осуществление деятельности по организации и проведению азартных игр и пари;</w:t>
      </w:r>
    </w:p>
    <w:p>
      <w:pPr>
        <w:spacing w:lineRule="auto"/>
        <w:ind w:firstLine="480"/>
        <w:jc w:val="both"/>
        <w:rPr>
          <w:sz w:val="24"/>
        </w:rPr>
      </w:pPr>
      <w:r>
        <w:rPr>
          <w:sz w:val="24"/>
        </w:rPr>
        <w:t>г) разрешение на получение лицензии - документ, выданный уполномоченным органом, осуществляющим контроль (надзор) за деятельностью игорных заведений по организации и проведению азартных игр и пари, который включает в себя сведения о наличии материальных и иных ресурсов, необходимых для осуществления лицензируемого вида деятельности и сведения об объекте, в котором или с помощью которого будет осуществляться лицензируемый вид деятельности. Под объектами понимаются здание, сооружение, а также оборудование и иные технические средства, с помощью которых осуществляется лицензируемый вид деятельности;</w:t>
      </w:r>
    </w:p>
    <w:p>
      <w:pPr>
        <w:spacing w:lineRule="auto"/>
        <w:ind w:firstLine="480"/>
        <w:jc w:val="both"/>
        <w:rPr>
          <w:sz w:val="24"/>
        </w:rPr>
      </w:pPr>
      <w:r>
        <w:rPr>
          <w:sz w:val="24"/>
        </w:rPr>
        <w:t>д) игорное заведение – организация, которая на основании лицензии может проводить азартные игры и пари: казино (электронное казино), тотализатор, букмекерская контора и зал (залы) игровых автоматов;</w:t>
      </w:r>
    </w:p>
    <w:p>
      <w:pPr>
        <w:spacing w:lineRule="auto"/>
        <w:ind w:firstLine="480"/>
        <w:jc w:val="both"/>
        <w:rPr>
          <w:sz w:val="24"/>
        </w:rPr>
      </w:pPr>
      <w:r>
        <w:rPr>
          <w:sz w:val="24"/>
        </w:rPr>
        <w:t>е) участник игры (игрок) – физическое лицо, принимающее участие в азартных играх и пари, проводимых игорным заведением;</w:t>
      </w:r>
    </w:p>
    <w:p>
      <w:pPr>
        <w:spacing w:lineRule="auto"/>
        <w:ind w:firstLine="480"/>
        <w:jc w:val="both"/>
        <w:rPr>
          <w:sz w:val="24"/>
        </w:rPr>
      </w:pPr>
      <w:r>
        <w:rPr>
          <w:sz w:val="24"/>
        </w:rPr>
        <w:t>ж) азартная игра – игра, участие в которой позволяет выигрывать деньги, иное имущество, в том числе имущественные права, результат которой определяется действиями любой из сторон, участвующих в игре, полностью или частично основанными на случае (риске);</w:t>
      </w:r>
    </w:p>
    <w:p>
      <w:pPr>
        <w:spacing w:lineRule="auto"/>
        <w:ind w:firstLine="480"/>
        <w:jc w:val="both"/>
        <w:rPr>
          <w:sz w:val="24"/>
        </w:rPr>
      </w:pPr>
      <w:r>
        <w:rPr>
          <w:sz w:val="24"/>
        </w:rPr>
        <w:t>з) пари – основанное на риске соглашение о выигрыше, заключенное между двумя или несколькими участниками игры либо с игорным заведением, исход которого зависит от события, относительно которого неизвестно, наступит оно или нет;</w:t>
      </w:r>
    </w:p>
    <w:p>
      <w:pPr>
        <w:spacing w:lineRule="auto"/>
        <w:ind w:firstLine="480"/>
        <w:jc w:val="both"/>
        <w:rPr>
          <w:sz w:val="24"/>
        </w:rPr>
      </w:pPr>
      <w:r>
        <w:rPr>
          <w:sz w:val="24"/>
        </w:rPr>
        <w:t>и) игровой стол – специально оборудованное игорным заведением место, предназначенное для проведения азартных игр с любым видом выигрыша, в которых игорное заведение через своих представителей участвует как сторона или как организатор;</w:t>
      </w:r>
    </w:p>
    <w:p>
      <w:pPr>
        <w:spacing w:lineRule="auto"/>
        <w:ind w:firstLine="480"/>
        <w:jc w:val="both"/>
        <w:rPr>
          <w:sz w:val="24"/>
        </w:rPr>
      </w:pPr>
      <w:r>
        <w:rPr>
          <w:sz w:val="24"/>
        </w:rPr>
        <w:t>к) игровой автомат – специальное оборудование (механическое, электрическое, электронное и иное техническое оборудование), установленное и используемое игорным заведением для проведения азартных игр с денежным выигрышем без участия в указанных играх представителей игорного заведения, результат которых определяется случайным образом генератором случайных чисел, исключающим возможность оказать влияние на выдаваемый им результат;</w:t>
      </w:r>
    </w:p>
    <w:p>
      <w:pPr>
        <w:spacing w:lineRule="auto"/>
        <w:ind w:firstLine="480"/>
        <w:jc w:val="both"/>
        <w:rPr>
          <w:sz w:val="24"/>
        </w:rPr>
      </w:pPr>
      <w:r>
        <w:rPr>
          <w:sz w:val="24"/>
        </w:rPr>
        <w:t>л) выигрыш – экономическая выгода в виде денег или иного имущества, в том числе имущественных прав, определяемая участником игры как положительная разница между суммами средств, уплаченных и полученных в азартной игре или пари;</w:t>
      </w:r>
    </w:p>
    <w:p>
      <w:pPr>
        <w:spacing w:lineRule="auto"/>
        <w:ind w:firstLine="480"/>
        <w:jc w:val="both"/>
        <w:rPr>
          <w:sz w:val="24"/>
        </w:rPr>
      </w:pPr>
      <w:r>
        <w:rPr>
          <w:sz w:val="24"/>
        </w:rPr>
        <w:t>м) представители игорного заведения (сотрудники игорного заведения) – лица, состоящие в трудовых или гражданско-правовых отношениях с игорным заведением;</w:t>
      </w:r>
    </w:p>
    <w:p>
      <w:pPr>
        <w:spacing w:lineRule="auto"/>
        <w:ind w:firstLine="480"/>
        <w:jc w:val="both"/>
        <w:rPr>
          <w:sz w:val="24"/>
        </w:rPr>
      </w:pPr>
      <w:r>
        <w:rPr>
          <w:sz w:val="24"/>
        </w:rPr>
        <w:t>н) игровой жетон (билет, электронная карта игрока) – документ, то есть зафиксированная на материальном носителе информация с реквизитами, позволяющими идентифицировать ее принадлежность игорному заведению, подтверждающий намерение игрока участвовать в азартной игре или пари по правилам, установленным игорным заведением, но не противоречащим действующему законодательству Приднестровской Молдавской Республики;</w:t>
      </w:r>
    </w:p>
    <w:p>
      <w:pPr>
        <w:spacing w:lineRule="auto"/>
        <w:ind w:firstLine="480"/>
        <w:jc w:val="both"/>
        <w:rPr>
          <w:sz w:val="24"/>
        </w:rPr>
      </w:pPr>
      <w:r>
        <w:rPr>
          <w:sz w:val="24"/>
        </w:rPr>
        <w:t>о) касса – специальное оборудованное место в игорном заведении, где учитывается общая сумма ставок и определяется сумма выигрыша, подлежащая выплате.</w:t>
      </w:r>
    </w:p>
    <w:p>
      <w:pPr>
        <w:spacing w:lineRule="auto"/>
        <w:ind w:firstLine="480"/>
        <w:jc w:val="both"/>
        <w:rPr>
          <w:sz w:val="24"/>
        </w:rPr>
      </w:pPr>
      <w:r>
        <w:rPr>
          <w:sz w:val="24"/>
        </w:rPr>
        <w:t>п) компьютерный сервер (электронно-вычислительная машина) – компьютер (электронно-вычислительная машина), предоставляющий свои ресурсы (дисковое пространство) для совместного использования другими компьютерами (электронно-вычислительными машинами);</w:t>
      </w:r>
    </w:p>
    <w:p>
      <w:pPr>
        <w:spacing w:lineRule="auto"/>
        <w:ind w:firstLine="480"/>
        <w:jc w:val="both"/>
        <w:rPr>
          <w:sz w:val="24"/>
        </w:rPr>
      </w:pPr>
      <w:r>
        <w:rPr>
          <w:sz w:val="24"/>
        </w:rPr>
        <w:t>р) казино – игорное заведение, которое с использованием игровых столов для карточных игр и рулетки, игровых автоматов, а также иного игорного оборудования проводит любые азартные игры и пари;</w:t>
      </w:r>
    </w:p>
    <w:p>
      <w:pPr>
        <w:spacing w:lineRule="auto"/>
        <w:ind w:firstLine="480"/>
        <w:jc w:val="both"/>
        <w:rPr>
          <w:sz w:val="24"/>
        </w:rPr>
      </w:pPr>
      <w:r>
        <w:rPr>
          <w:sz w:val="24"/>
        </w:rPr>
        <w:t>с) электронное казино – деятельность игорного заведения, которое с использованием соответствующего программного обеспечения, размещенного на компьютерном сервере (электронно-вычислительной машине) или ином устройстве, предоставляет возможность неограниченному кругу лиц через сеть Интернет в режиме реального времени принять участие в азартной игре или пари и узнать результат;</w:t>
      </w:r>
    </w:p>
    <w:p>
      <w:pPr>
        <w:spacing w:lineRule="auto"/>
        <w:ind w:firstLine="480"/>
        <w:jc w:val="both"/>
        <w:rPr>
          <w:sz w:val="24"/>
        </w:rPr>
      </w:pPr>
      <w:r>
        <w:rPr>
          <w:sz w:val="24"/>
        </w:rPr>
        <w:t>т) тотализатор – игорное заведение, в котором заключаются взаимные пари между всеми участниками игры на исход события, результат которого заранее не определен, при этом само игорное заведение не участвует собственными средствами в пари, а является лишь организатором, обеспечивая все необходимые условия для подачи ставок между участниками пари и распределяя выигрыш между выигравшими участниками;</w:t>
      </w:r>
    </w:p>
    <w:p>
      <w:pPr>
        <w:spacing w:lineRule="auto"/>
        <w:ind w:firstLine="480"/>
        <w:jc w:val="both"/>
        <w:rPr>
          <w:sz w:val="24"/>
        </w:rPr>
      </w:pPr>
      <w:r>
        <w:rPr>
          <w:sz w:val="24"/>
        </w:rPr>
        <w:t>у) касса тотализатора – специально оборудованное место тотализатора, где производится прием ставок на исход какого-либо события, учитывается общая их сумма, определяется сумма выигрыша, подлежащая выплате;</w:t>
      </w:r>
    </w:p>
    <w:p>
      <w:pPr>
        <w:spacing w:lineRule="auto"/>
        <w:ind w:firstLine="480"/>
        <w:jc w:val="both"/>
        <w:rPr>
          <w:sz w:val="24"/>
        </w:rPr>
      </w:pPr>
      <w:r>
        <w:rPr>
          <w:sz w:val="24"/>
        </w:rPr>
        <w:t>ф) пари тотализатора – пари, в котором участник игры делает ставку на результат игрового, спортивного или иного события (заключает пари с иными участниками игры); размер выигрыша зависит от частичного или полного совпадения прогноза с наступившими, документально подтвержденными фактами, а также от ставок, внесенных другими игроками;</w:t>
      </w:r>
    </w:p>
    <w:p>
      <w:pPr>
        <w:spacing w:lineRule="auto"/>
        <w:ind w:firstLine="480"/>
        <w:jc w:val="both"/>
        <w:rPr>
          <w:sz w:val="24"/>
        </w:rPr>
      </w:pPr>
      <w:r>
        <w:rPr>
          <w:sz w:val="24"/>
        </w:rPr>
        <w:t>х) букмекерская контора – игорное заведение, в котором заключаются пари между всеми участниками игры и игорным заведением на исход события, результат которого заранее не определен; при этом само игорное заведение не только является организатором проведения азартной игры, но и обеспечивает своими средствами выплату выигрыша;</w:t>
      </w:r>
    </w:p>
    <w:p>
      <w:pPr>
        <w:spacing w:lineRule="auto"/>
        <w:ind w:firstLine="480"/>
        <w:jc w:val="both"/>
        <w:rPr>
          <w:sz w:val="24"/>
        </w:rPr>
      </w:pPr>
      <w:r>
        <w:rPr>
          <w:sz w:val="24"/>
        </w:rPr>
        <w:t>ц) букмекерское пари – пари, в котором участник игры делает ставку на результат игрового, спортивного или иного события (заключает пари с букмекерской конторой и иными участниками игры); размер выигрыша зависит от частичного или полного совпадения прогноза с наступившими, документально подтвержденными фактами, и не зависит от ставок, внесенных другими игроками;</w:t>
      </w:r>
    </w:p>
    <w:p>
      <w:pPr>
        <w:spacing w:lineRule="auto"/>
        <w:ind w:firstLine="480"/>
        <w:jc w:val="both"/>
        <w:rPr>
          <w:sz w:val="24"/>
        </w:rPr>
      </w:pPr>
      <w:r>
        <w:rPr>
          <w:sz w:val="24"/>
        </w:rPr>
        <w:t>ч) букмекерская касса – специально оборудованное место букмекерской конторы, где осуществляется прием ставок на исход какого-либо события, выплата выигрышей;</w:t>
      </w:r>
    </w:p>
    <w:p>
      <w:pPr>
        <w:spacing w:lineRule="auto"/>
        <w:ind w:firstLine="480"/>
        <w:jc w:val="both"/>
        <w:rPr>
          <w:sz w:val="24"/>
        </w:rPr>
      </w:pPr>
      <w:r>
        <w:rPr>
          <w:sz w:val="24"/>
        </w:rPr>
        <w:t>ш) зал (залы) игровых автоматов – игорное заведение, которое для проведения азартных игр использует только игровые автоматы;</w:t>
      </w:r>
    </w:p>
    <w:p>
      <w:pPr>
        <w:spacing w:lineRule="auto"/>
        <w:ind w:firstLine="480"/>
        <w:jc w:val="both"/>
        <w:rPr>
          <w:sz w:val="24"/>
        </w:rPr>
      </w:pPr>
      <w:r>
        <w:rPr>
          <w:sz w:val="24"/>
        </w:rPr>
        <w:t>щ) зона обслуживания посетителей – помещение игорного заведения, предназначенное для проведения азартных игр и (или) пари;</w:t>
      </w:r>
    </w:p>
    <w:p>
      <w:pPr>
        <w:spacing w:lineRule="auto"/>
        <w:ind w:firstLine="480"/>
        <w:jc w:val="both"/>
        <w:rPr>
          <w:sz w:val="24"/>
        </w:rPr>
      </w:pPr>
      <w:r>
        <w:rPr>
          <w:sz w:val="24"/>
        </w:rPr>
        <w:t>ы) помещение – часть внутреннего объема здания или часть межпалубного пространства в корпусе судна, ограниченная строительными конструкциями.</w:t>
      </w:r>
    </w:p>
    <w:p>
      <w:pPr>
        <w:spacing w:lineRule="auto"/>
        <w:ind w:firstLine="480"/>
        <w:jc w:val="both"/>
        <w:rPr>
          <w:sz w:val="24"/>
        </w:rPr>
      </w:pPr>
      <w:r>
        <w:rPr>
          <w:sz w:val="24"/>
        </w:rPr>
        <w:t>4. Право на осуществление деятельности по организации и проведению азартных игр и пари возникает у коммерческой организации с момента выдачи ей лицензии или в указанный в ней срок и прекращается с момента окончания срока действия лицензии, аннулирования лицензии, а также приостановления её действия.</w:t>
      </w:r>
    </w:p>
    <w:p>
      <w:pPr>
        <w:spacing w:lineRule="auto"/>
        <w:ind w:firstLine="480"/>
        <w:jc w:val="both"/>
        <w:rPr>
          <w:sz w:val="24"/>
        </w:rPr>
      </w:pPr>
      <w:r>
        <w:rPr>
          <w:sz w:val="24"/>
        </w:rPr>
        <w:t>5. Срок действия лицензии на осуществление деятельности по организации и проведению азартных игр и пари определяется по заявлению соискателя лицензии (лицензиата), но не может быть менее 5 (пяти) лет.</w:t>
      </w:r>
    </w:p>
    <w:p>
      <w:pPr>
        <w:spacing w:lineRule="auto"/>
        <w:ind w:firstLine="480"/>
        <w:jc w:val="both"/>
        <w:rPr>
          <w:sz w:val="24"/>
        </w:rPr>
      </w:pPr>
      <w:r>
        <w:rPr>
          <w:sz w:val="24"/>
        </w:rPr>
        <w:t>6. За выдачу лицензии взимается лицензионный сбор, размер которого устанавливается в зависимости от срока действия лицензии. Лицензионный сбор за выдачу лицензии взимается в следующем размере, если срок, на который выдана лицензия, составляет:</w:t>
      </w:r>
    </w:p>
    <w:p>
      <w:pPr>
        <w:spacing w:lineRule="auto"/>
        <w:ind w:firstLine="480"/>
        <w:jc w:val="both"/>
        <w:rPr>
          <w:sz w:val="24"/>
        </w:rPr>
      </w:pPr>
      <w:r>
        <w:rPr>
          <w:sz w:val="24"/>
        </w:rPr>
        <w:t>а) 5 (пять) лет - в размере 400 (четырехсот) расчетных уровней минимальной заработной платы;</w:t>
      </w:r>
    </w:p>
    <w:p>
      <w:pPr>
        <w:spacing w:lineRule="auto"/>
        <w:ind w:firstLine="480"/>
        <w:jc w:val="both"/>
        <w:rPr>
          <w:sz w:val="24"/>
        </w:rPr>
      </w:pPr>
      <w:r>
        <w:rPr>
          <w:sz w:val="24"/>
        </w:rPr>
        <w:t>б) от 5 (пяти) до 10 (десяти) лет - в размере 800 (восьмисот) расчетных уровней минимальной заработной платы;</w:t>
      </w:r>
    </w:p>
    <w:p>
      <w:pPr>
        <w:spacing w:lineRule="auto"/>
        <w:ind w:firstLine="480"/>
        <w:jc w:val="both"/>
        <w:rPr>
          <w:sz w:val="24"/>
        </w:rPr>
      </w:pPr>
      <w:r>
        <w:rPr>
          <w:sz w:val="24"/>
        </w:rPr>
        <w:t>в) свыше 10 лет, в том числе бессрочно, - в размере 1 000 (одной тысячи) расчетных уровней минимальной заработной платы.</w:t>
      </w:r>
    </w:p>
    <w:p>
      <w:pPr>
        <w:spacing w:lineRule="auto"/>
        <w:ind w:firstLine="480"/>
        <w:jc w:val="both"/>
        <w:rPr>
          <w:sz w:val="24"/>
        </w:rPr>
      </w:pPr>
      <w:r>
        <w:rPr>
          <w:sz w:val="24"/>
        </w:rPr>
        <w:t>7. Лицензия выдается на осуществление следующих разрешенных на территории Приднестровской Молдавской Республики видов деятельности по организации и проведению азартных игр и пари:</w:t>
      </w:r>
    </w:p>
    <w:p>
      <w:pPr>
        <w:spacing w:lineRule="auto"/>
        <w:ind w:firstLine="480"/>
        <w:jc w:val="both"/>
        <w:rPr>
          <w:sz w:val="24"/>
        </w:rPr>
      </w:pPr>
      <w:r>
        <w:rPr>
          <w:sz w:val="24"/>
        </w:rPr>
        <w:t>а) деятельность казино по организации и проведению азартных игр и пари;</w:t>
      </w:r>
    </w:p>
    <w:p>
      <w:pPr>
        <w:spacing w:lineRule="auto"/>
        <w:ind w:firstLine="480"/>
        <w:jc w:val="both"/>
        <w:rPr>
          <w:sz w:val="24"/>
        </w:rPr>
      </w:pPr>
      <w:r>
        <w:rPr>
          <w:sz w:val="24"/>
        </w:rPr>
        <w:t>б) деятельность электронного казино по организации и проведению азартных игр и пари;</w:t>
      </w:r>
    </w:p>
    <w:p>
      <w:pPr>
        <w:spacing w:lineRule="auto"/>
        <w:ind w:firstLine="480"/>
        <w:jc w:val="both"/>
        <w:rPr>
          <w:sz w:val="24"/>
        </w:rPr>
      </w:pPr>
      <w:r>
        <w:rPr>
          <w:sz w:val="24"/>
        </w:rPr>
        <w:t>в) деятельность тотализатора по организации и проведению пари;</w:t>
      </w:r>
    </w:p>
    <w:p>
      <w:pPr>
        <w:spacing w:lineRule="auto"/>
        <w:ind w:firstLine="480"/>
        <w:jc w:val="both"/>
        <w:rPr>
          <w:sz w:val="24"/>
        </w:rPr>
      </w:pPr>
      <w:r>
        <w:rPr>
          <w:sz w:val="24"/>
        </w:rPr>
        <w:t>г) деятельность букмекерской конторы по организации и проведению пари;</w:t>
      </w:r>
    </w:p>
    <w:p>
      <w:pPr>
        <w:spacing w:lineRule="auto"/>
        <w:ind w:firstLine="480"/>
        <w:jc w:val="both"/>
        <w:rPr>
          <w:sz w:val="24"/>
        </w:rPr>
      </w:pPr>
      <w:r>
        <w:rPr>
          <w:sz w:val="24"/>
        </w:rPr>
        <w:t>д) деятельность зала (залов) игровых автоматов по организации и проведению азартных игр.</w:t>
      </w:r>
    </w:p>
    <w:p>
      <w:pPr>
        <w:spacing w:lineRule="auto"/>
        <w:ind w:firstLine="480"/>
        <w:jc w:val="both"/>
        <w:rPr>
          <w:sz w:val="24"/>
        </w:rPr>
      </w:pPr>
      <w:r>
        <w:rPr>
          <w:sz w:val="24"/>
        </w:rPr>
        <w:t>8. В лицензии на осуществление деятельности по организации и проведению азартных игр и пари, кроме юридического адреса, должно указываться место (адрес) осуществления лицензируемого вида деятельности – место нахождения объекта (здания, сооружения), в котором или с помощью которого осуществляется лицензируемый вид деятельности.</w:t>
      </w:r>
    </w:p>
    <w:p>
      <w:pPr>
        <w:spacing w:lineRule="auto"/>
        <w:ind w:firstLine="480"/>
        <w:jc w:val="both"/>
        <w:rPr>
          <w:sz w:val="24"/>
        </w:rPr>
      </w:pPr>
      <w:r>
        <w:rPr>
          <w:sz w:val="24"/>
        </w:rPr>
        <w:t>Игорные заведения должны осуществлять деятельность по адресу, указанному в лицензии.</w:t>
      </w:r>
    </w:p>
    <w:p>
      <w:pPr>
        <w:pStyle w:val="Heading2"/>
        <w:spacing w:lineRule="auto"/>
        <w:ind w:firstLine="480"/>
        <w:jc w:val="center"/>
        <w:rPr/>
      </w:pPr>
      <w:r>
        <w:rPr>
          <w:b w:val="true"/>
        </w:rPr>
        <w:t>2.</w:t>
      </w:r>
      <w:r>
        <w:rPr/>
        <w:t xml:space="preserve"> Лицензионные требования и условия, предъявляемые к залам игровых автоматов</w:t>
      </w:r>
    </w:p>
    <w:p>
      <w:pPr>
        <w:spacing w:lineRule="auto"/>
        <w:ind w:firstLine="480"/>
        <w:jc w:val="both"/>
        <w:rPr>
          <w:sz w:val="24"/>
        </w:rPr>
      </w:pPr>
      <w:r>
        <w:rPr>
          <w:sz w:val="24"/>
        </w:rPr>
        <w:t>9. Залы игровых автоматов могут располагаться только в капитальных, нежилых помещениях. В каждом помещении зала игровых автоматов, осуществляющего деятельность по организации и проведению азартных игр и пари, должно быть установлено не менее 5 (пяти) игровых автоматов. Один игровой автомат должен размещаться на площади не менее 6 квадратных метров.</w:t>
      </w:r>
    </w:p>
    <w:p>
      <w:pPr>
        <w:spacing w:lineRule="auto"/>
        <w:ind w:firstLine="480"/>
        <w:jc w:val="both"/>
        <w:rPr>
          <w:sz w:val="24"/>
        </w:rPr>
      </w:pPr>
      <w:r>
        <w:rPr>
          <w:sz w:val="24"/>
        </w:rPr>
        <w:t>10. Залы игровых автоматов не могут размещаться:</w:t>
      </w:r>
    </w:p>
    <w:p>
      <w:pPr>
        <w:spacing w:lineRule="auto"/>
        <w:ind w:firstLine="480"/>
        <w:jc w:val="both"/>
        <w:rPr>
          <w:sz w:val="24"/>
        </w:rPr>
      </w:pPr>
      <w:r>
        <w:rPr>
          <w:sz w:val="24"/>
        </w:rPr>
        <w:t>а) на объектах незавершенного строительства;</w:t>
      </w:r>
    </w:p>
    <w:p>
      <w:pPr>
        <w:spacing w:lineRule="auto"/>
        <w:ind w:firstLine="480"/>
        <w:jc w:val="both"/>
        <w:rPr>
          <w:sz w:val="24"/>
        </w:rPr>
      </w:pPr>
      <w:r>
        <w:rPr>
          <w:sz w:val="24"/>
        </w:rPr>
        <w:t>б) во временных постройках;</w:t>
      </w:r>
    </w:p>
    <w:p>
      <w:pPr>
        <w:spacing w:lineRule="auto"/>
        <w:ind w:firstLine="480"/>
        <w:jc w:val="both"/>
        <w:rPr>
          <w:sz w:val="24"/>
        </w:rPr>
      </w:pPr>
      <w:r>
        <w:rPr>
          <w:sz w:val="24"/>
        </w:rPr>
        <w:t>в) в зданиях действующих образовательных, медицинских и культовых учреждений.</w:t>
      </w:r>
    </w:p>
    <w:p>
      <w:pPr>
        <w:spacing w:lineRule="auto"/>
        <w:ind w:firstLine="480"/>
        <w:jc w:val="both"/>
        <w:rPr>
          <w:sz w:val="24"/>
        </w:rPr>
      </w:pPr>
      <w:r>
        <w:rPr>
          <w:sz w:val="24"/>
        </w:rPr>
        <w:t>11. Игровые автоматы могут объединяться в единую систему. Не допускается использование игровых автоматов, в которых исход игры определяется не случайным образом.</w:t>
      </w:r>
    </w:p>
    <w:p>
      <w:pPr>
        <w:spacing w:lineRule="auto"/>
        <w:ind w:firstLine="480"/>
        <w:jc w:val="both"/>
        <w:rPr>
          <w:sz w:val="24"/>
        </w:rPr>
      </w:pPr>
      <w:r>
        <w:rPr>
          <w:sz w:val="24"/>
        </w:rPr>
        <w:t>12. Ставки в зале игровых автоматов делаются игровыми жетонами, электронными картами игрока или платежными средствами, находящимися в обращении на территории Приднестровской Молдавской Республики, в случае оснащения игровых автоматов устройством по приему денежных купюр или монет, или в кредит, то есть путем внесения игроком в кассу соответствующей суммы денежных средств и установления представителем игорного заведения на игровом автомате количества оплаченных ставок.</w:t>
      </w:r>
    </w:p>
    <w:p>
      <w:pPr>
        <w:spacing w:lineRule="auto"/>
        <w:ind w:firstLine="480"/>
        <w:jc w:val="both"/>
        <w:rPr>
          <w:sz w:val="24"/>
        </w:rPr>
      </w:pPr>
      <w:r>
        <w:rPr>
          <w:sz w:val="24"/>
        </w:rPr>
        <w:t>13. Размер уставного капитала зала (залов) игровых автоматов должен быть не менее 35 (тридцати пяти) тысяч расчетных уровней минимальной заработной платы. Данное требование не распространяется на казино, осуществляющее деятельность по организации зала (залов) игровых автоматов.</w:t>
      </w:r>
    </w:p>
    <w:p>
      <w:pPr>
        <w:spacing w:lineRule="auto"/>
        <w:ind w:firstLine="480"/>
        <w:jc w:val="both"/>
        <w:rPr>
          <w:sz w:val="24"/>
        </w:rPr>
      </w:pPr>
      <w:r>
        <w:rPr>
          <w:sz w:val="24"/>
        </w:rPr>
        <w:t>14. Технологически заложенный в игровой автомат средний процент денежного выигрыша должен быть не ниже 75 (семидесяти пяти) процентов в пользу участника (участников) игры на соответствующем игровом автомате.</w:t>
      </w:r>
    </w:p>
    <w:p>
      <w:pPr>
        <w:pStyle w:val="Heading2"/>
        <w:spacing w:lineRule="auto"/>
        <w:ind w:firstLine="480"/>
        <w:jc w:val="center"/>
        <w:rPr/>
      </w:pPr>
      <w:r>
        <w:rPr>
          <w:b w:val="true"/>
        </w:rPr>
        <w:t>3.</w:t>
      </w:r>
      <w:r>
        <w:rPr/>
        <w:t xml:space="preserve"> Лицензионные требования и условия, предъявляемые к казино</w:t>
      </w:r>
    </w:p>
    <w:p>
      <w:pPr>
        <w:spacing w:lineRule="auto"/>
        <w:ind w:firstLine="480"/>
        <w:jc w:val="both"/>
        <w:rPr>
          <w:sz w:val="24"/>
        </w:rPr>
      </w:pPr>
      <w:r>
        <w:rPr>
          <w:sz w:val="24"/>
        </w:rPr>
        <w:t>15. Казино могут располагаться только в капитальных, нежилых помещениях. По площади помещение должно быть не менее 160 квадратных метров – для размещения игровых столов для карточных игр и рулетки, а также иного игорного оборудования.</w:t>
      </w:r>
    </w:p>
    <w:p>
      <w:pPr>
        <w:spacing w:lineRule="auto"/>
        <w:ind w:firstLine="480"/>
        <w:jc w:val="both"/>
        <w:rPr>
          <w:sz w:val="24"/>
        </w:rPr>
      </w:pPr>
      <w:r>
        <w:rPr>
          <w:sz w:val="24"/>
        </w:rPr>
        <w:t>16. Казино не может размещаться:</w:t>
      </w:r>
    </w:p>
    <w:p>
      <w:pPr>
        <w:spacing w:lineRule="auto"/>
        <w:ind w:firstLine="480"/>
        <w:jc w:val="both"/>
        <w:rPr>
          <w:sz w:val="24"/>
        </w:rPr>
      </w:pPr>
      <w:r>
        <w:rPr>
          <w:sz w:val="24"/>
        </w:rPr>
        <w:t>а) на объектах незавершенного строительства;</w:t>
      </w:r>
    </w:p>
    <w:p>
      <w:pPr>
        <w:spacing w:lineRule="auto"/>
        <w:ind w:firstLine="480"/>
        <w:jc w:val="both"/>
        <w:rPr>
          <w:sz w:val="24"/>
        </w:rPr>
      </w:pPr>
      <w:r>
        <w:rPr>
          <w:sz w:val="24"/>
        </w:rPr>
        <w:t>б) во временных постройках;</w:t>
      </w:r>
    </w:p>
    <w:p>
      <w:pPr>
        <w:spacing w:lineRule="auto"/>
        <w:ind w:firstLine="480"/>
        <w:jc w:val="both"/>
        <w:rPr>
          <w:sz w:val="24"/>
        </w:rPr>
      </w:pPr>
      <w:r>
        <w:rPr>
          <w:sz w:val="24"/>
        </w:rPr>
        <w:t>в) в зданиях действующих образовательных, медицинских и культовых учреждений.</w:t>
      </w:r>
    </w:p>
    <w:p>
      <w:pPr>
        <w:spacing w:lineRule="auto"/>
        <w:ind w:firstLine="480"/>
        <w:jc w:val="both"/>
        <w:rPr>
          <w:sz w:val="24"/>
        </w:rPr>
      </w:pPr>
      <w:r>
        <w:rPr>
          <w:sz w:val="24"/>
        </w:rPr>
        <w:t>17. Ставки в казино могут осуществляться игровыми жетонами или платежными средствами, находящимися в обращении на территории Приднестровской Молдавской Республики.</w:t>
      </w:r>
    </w:p>
    <w:p>
      <w:pPr>
        <w:spacing w:lineRule="auto"/>
        <w:ind w:firstLine="480"/>
        <w:jc w:val="both"/>
        <w:rPr>
          <w:sz w:val="24"/>
        </w:rPr>
      </w:pPr>
      <w:r>
        <w:rPr>
          <w:sz w:val="24"/>
        </w:rPr>
        <w:t>18. Стоимость игровых жетонов устанавливается игорным заведением самостоятельно.</w:t>
      </w:r>
    </w:p>
    <w:p>
      <w:pPr>
        <w:spacing w:lineRule="auto"/>
        <w:ind w:firstLine="480"/>
        <w:jc w:val="both"/>
        <w:rPr>
          <w:sz w:val="24"/>
        </w:rPr>
      </w:pPr>
      <w:r>
        <w:rPr>
          <w:sz w:val="24"/>
        </w:rPr>
        <w:t>19. Обмен денег на игровые жетоны для участия в азартной игре и пари, равно как выдача денег в обмен на игровые жетоны, должны производиться в кассе казино.</w:t>
      </w:r>
    </w:p>
    <w:p>
      <w:pPr>
        <w:spacing w:lineRule="auto"/>
        <w:ind w:firstLine="480"/>
        <w:jc w:val="both"/>
        <w:rPr>
          <w:sz w:val="24"/>
        </w:rPr>
      </w:pPr>
      <w:r>
        <w:rPr>
          <w:sz w:val="24"/>
        </w:rPr>
        <w:t>20. По требованию игрока казино обязано выдать ему документ, подтверждающий получение денежной суммы в обмен на игровые жетоны.</w:t>
      </w:r>
    </w:p>
    <w:p>
      <w:pPr>
        <w:spacing w:lineRule="auto"/>
        <w:ind w:firstLine="480"/>
        <w:jc w:val="both"/>
        <w:rPr>
          <w:sz w:val="24"/>
        </w:rPr>
      </w:pPr>
      <w:r>
        <w:rPr>
          <w:sz w:val="24"/>
        </w:rPr>
        <w:t>21. Размер уставного капитала казино должен быть не менее 100 (ста) тысяч расчетных уровней минимальной заработной платы.</w:t>
      </w:r>
    </w:p>
    <w:p>
      <w:pPr>
        <w:pStyle w:val="Heading2"/>
        <w:spacing w:lineRule="auto"/>
        <w:ind w:firstLine="480"/>
        <w:jc w:val="center"/>
        <w:rPr/>
      </w:pPr>
      <w:r>
        <w:rPr>
          <w:b w:val="true"/>
        </w:rPr>
        <w:t>4.</w:t>
      </w:r>
      <w:r>
        <w:rPr/>
        <w:t xml:space="preserve"> Лицензионные требования и условия, предъявляемые электронному казино</w:t>
      </w:r>
    </w:p>
    <w:p>
      <w:pPr>
        <w:spacing w:lineRule="auto"/>
        <w:ind w:firstLine="480"/>
        <w:jc w:val="both"/>
        <w:rPr>
          <w:sz w:val="24"/>
        </w:rPr>
      </w:pPr>
      <w:r>
        <w:rPr>
          <w:sz w:val="24"/>
        </w:rPr>
        <w:t>22. Электронные казино могут располагаться только в капитальных, нежилых помещениях. По площади помещение должно быть не менее 160 квадратных метров – для размещения компьютерного сервера, а также иного оборудования, предназначенного для осуществления данного вида деятельности.</w:t>
      </w:r>
    </w:p>
    <w:p>
      <w:pPr>
        <w:spacing w:lineRule="auto"/>
        <w:ind w:firstLine="480"/>
        <w:jc w:val="both"/>
        <w:rPr>
          <w:sz w:val="24"/>
        </w:rPr>
      </w:pPr>
      <w:r>
        <w:rPr>
          <w:sz w:val="24"/>
        </w:rPr>
        <w:t>Электронное казино не может размещаться:</w:t>
      </w:r>
    </w:p>
    <w:p>
      <w:pPr>
        <w:spacing w:lineRule="auto"/>
        <w:ind w:firstLine="480"/>
        <w:jc w:val="both"/>
        <w:rPr>
          <w:sz w:val="24"/>
        </w:rPr>
      </w:pPr>
      <w:r>
        <w:rPr>
          <w:sz w:val="24"/>
        </w:rPr>
        <w:t>а) на объектах незавершенного строительства;</w:t>
      </w:r>
    </w:p>
    <w:p>
      <w:pPr>
        <w:spacing w:lineRule="auto"/>
        <w:ind w:firstLine="480"/>
        <w:jc w:val="both"/>
        <w:rPr>
          <w:sz w:val="24"/>
        </w:rPr>
      </w:pPr>
      <w:r>
        <w:rPr>
          <w:sz w:val="24"/>
        </w:rPr>
        <w:t>б) во временных постройках;</w:t>
      </w:r>
    </w:p>
    <w:p>
      <w:pPr>
        <w:spacing w:lineRule="auto"/>
        <w:ind w:firstLine="480"/>
        <w:jc w:val="both"/>
        <w:rPr>
          <w:sz w:val="24"/>
        </w:rPr>
      </w:pPr>
      <w:r>
        <w:rPr>
          <w:sz w:val="24"/>
        </w:rPr>
        <w:t>в) в зданиях действующих образовательных, медицинских и культовых учреждений.</w:t>
      </w:r>
    </w:p>
    <w:p>
      <w:pPr>
        <w:spacing w:lineRule="auto"/>
        <w:ind w:firstLine="480"/>
        <w:jc w:val="both"/>
        <w:rPr>
          <w:sz w:val="24"/>
        </w:rPr>
      </w:pPr>
      <w:r>
        <w:rPr>
          <w:sz w:val="24"/>
        </w:rPr>
        <w:t>23. Оплата ставки и выплата выигрыша в электронном казино может производиться как платежными средствами, находящимися в обращении на территории Приднестровской Молдавской Республики, так и с помощью платежных систем, предполагающих передачу данных через сеть Интернет.</w:t>
      </w:r>
    </w:p>
    <w:p>
      <w:pPr>
        <w:spacing w:lineRule="auto"/>
        <w:ind w:firstLine="480"/>
        <w:jc w:val="both"/>
        <w:rPr>
          <w:sz w:val="24"/>
        </w:rPr>
      </w:pPr>
      <w:r>
        <w:rPr>
          <w:sz w:val="24"/>
        </w:rPr>
        <w:t>24. В состав обязательных сообщений, выводимых на мониторе электронного казино для участников, должна быть включена следующая информация:</w:t>
      </w:r>
    </w:p>
    <w:p>
      <w:pPr>
        <w:spacing w:lineRule="auto"/>
        <w:ind w:firstLine="480"/>
        <w:jc w:val="both"/>
        <w:rPr>
          <w:sz w:val="24"/>
        </w:rPr>
      </w:pPr>
      <w:r>
        <w:rPr>
          <w:sz w:val="24"/>
        </w:rPr>
        <w:t>а) реквизиты лицензии на содержание электронного казино и наименование уполномоченного исполнительного органа государственной власти, выдавшего лицензию;</w:t>
      </w:r>
    </w:p>
    <w:p>
      <w:pPr>
        <w:spacing w:lineRule="auto"/>
        <w:ind w:firstLine="480"/>
        <w:jc w:val="both"/>
        <w:rPr>
          <w:sz w:val="24"/>
        </w:rPr>
      </w:pPr>
      <w:r>
        <w:rPr>
          <w:sz w:val="24"/>
        </w:rPr>
        <w:t>б) место нахождения и номера телефонов организации, осуществляющей на основании лицензии данный вид деятельности;</w:t>
      </w:r>
    </w:p>
    <w:p>
      <w:pPr>
        <w:spacing w:lineRule="auto"/>
        <w:ind w:firstLine="480"/>
        <w:jc w:val="both"/>
        <w:rPr>
          <w:sz w:val="24"/>
        </w:rPr>
      </w:pPr>
      <w:r>
        <w:rPr>
          <w:sz w:val="24"/>
        </w:rPr>
        <w:t>в) сообщение о том, что доступ к данному электронному казино запрещен лицам, не достигшим возраста 18 (восемнадцати) лет;</w:t>
      </w:r>
    </w:p>
    <w:p>
      <w:pPr>
        <w:spacing w:lineRule="auto"/>
        <w:ind w:firstLine="480"/>
        <w:jc w:val="both"/>
        <w:rPr>
          <w:sz w:val="24"/>
        </w:rPr>
      </w:pPr>
      <w:r>
        <w:rPr>
          <w:sz w:val="24"/>
        </w:rPr>
        <w:t>г) правила игры, включая информацию о порядке принятия ставок и выплаты выигрыша;</w:t>
      </w:r>
    </w:p>
    <w:p>
      <w:pPr>
        <w:spacing w:lineRule="auto"/>
        <w:ind w:firstLine="480"/>
        <w:jc w:val="both"/>
        <w:rPr>
          <w:sz w:val="24"/>
        </w:rPr>
      </w:pPr>
      <w:r>
        <w:rPr>
          <w:sz w:val="24"/>
        </w:rPr>
        <w:t>д) место нахождения компьютерного сервера (электронно-вычислительной машины) электронного казино (адрес и номер телефона).</w:t>
      </w:r>
    </w:p>
    <w:p>
      <w:pPr>
        <w:spacing w:lineRule="auto"/>
        <w:ind w:firstLine="480"/>
        <w:jc w:val="both"/>
        <w:rPr>
          <w:sz w:val="24"/>
        </w:rPr>
      </w:pPr>
      <w:r>
        <w:rPr>
          <w:sz w:val="24"/>
        </w:rPr>
        <w:t>25. Ответственность за достоверность представленной на компьютерном сервере информации несет игорное заведение.</w:t>
      </w:r>
    </w:p>
    <w:p>
      <w:pPr>
        <w:spacing w:lineRule="auto"/>
        <w:ind w:firstLine="480"/>
        <w:jc w:val="both"/>
        <w:rPr>
          <w:sz w:val="24"/>
        </w:rPr>
      </w:pPr>
      <w:r>
        <w:rPr>
          <w:sz w:val="24"/>
        </w:rPr>
        <w:t>26. Размер уставного капитала электронного казино должен быть не менее 100 (ста) тысяч расчетных уровней минимальной заработной платы.</w:t>
      </w:r>
    </w:p>
    <w:p>
      <w:pPr>
        <w:pStyle w:val="Heading2"/>
        <w:spacing w:lineRule="auto"/>
        <w:ind w:firstLine="480"/>
        <w:jc w:val="center"/>
        <w:rPr/>
      </w:pPr>
      <w:r>
        <w:rPr>
          <w:b w:val="true"/>
        </w:rPr>
        <w:t>5.</w:t>
      </w:r>
      <w:r>
        <w:rPr/>
        <w:t xml:space="preserve"> Лицензионные требования и условия, предъявляемые к тотализатору и букмекерской конторе</w:t>
      </w:r>
    </w:p>
    <w:p>
      <w:pPr>
        <w:spacing w:lineRule="auto"/>
        <w:ind w:firstLine="480"/>
        <w:jc w:val="both"/>
        <w:rPr>
          <w:sz w:val="24"/>
        </w:rPr>
      </w:pPr>
      <w:r>
        <w:rPr>
          <w:sz w:val="24"/>
        </w:rPr>
        <w:t>27. Кассы букмекерской конторы и (или) тотализатора могут располагаться только в нежилых помещениях. Тотализатор и букмекерская контора самостоятельно определяют события, на исход которых заключаются пари.</w:t>
      </w:r>
    </w:p>
    <w:p>
      <w:pPr>
        <w:spacing w:lineRule="auto"/>
        <w:ind w:firstLine="480"/>
        <w:jc w:val="both"/>
        <w:rPr>
          <w:sz w:val="24"/>
        </w:rPr>
      </w:pPr>
      <w:r>
        <w:rPr>
          <w:sz w:val="24"/>
        </w:rPr>
        <w:t>28. Игорное заведение вправе создать сеть отдельных территориально обособленных пунктов приема ставок, которая позволит участникам игры, заключившим пари в разных пунктах, играть между собой (в букмекерской конторе – с игорным заведением), при этом учет и обобщение общей суммы сделанных ставок и размера выигрышей определяются в единой кассе тотализатора (кассе букмекерской конторы).</w:t>
      </w:r>
    </w:p>
    <w:p>
      <w:pPr>
        <w:spacing w:lineRule="auto"/>
        <w:ind w:firstLine="480"/>
        <w:jc w:val="both"/>
        <w:rPr>
          <w:sz w:val="24"/>
        </w:rPr>
      </w:pPr>
      <w:r>
        <w:rPr>
          <w:sz w:val="24"/>
        </w:rPr>
        <w:t>29. Размер уставного капитала букмекерской конторы должен быть не менее 35 (тридцати пяти) тысяч расчетных уровней минимальной заработной платы.</w:t>
      </w:r>
    </w:p>
    <w:p>
      <w:pPr>
        <w:spacing w:lineRule="auto"/>
        <w:ind w:firstLine="480"/>
        <w:jc w:val="both"/>
        <w:rPr>
          <w:sz w:val="24"/>
        </w:rPr>
      </w:pPr>
      <w:r>
        <w:rPr>
          <w:sz w:val="24"/>
        </w:rPr>
        <w:t>30. Сумма, выплачиваемая игрокам в виде выигрыша по результатам заключения взаимных пари в тотализаторе, не может быть менее 2/3 от общей суммы принятых ставок.</w:t>
      </w:r>
    </w:p>
    <w:p>
      <w:pPr>
        <w:spacing w:lineRule="auto"/>
        <w:ind w:firstLine="480"/>
        <w:jc w:val="both"/>
        <w:rPr>
          <w:sz w:val="24"/>
        </w:rPr>
      </w:pPr>
      <w:r>
        <w:rPr>
          <w:sz w:val="24"/>
        </w:rPr>
        <w:t>31. Ответственность за достоверность представленной на компьютерном сервере (электронно-вычислительной машине) информации несет игорное заведение.</w:t>
      </w:r>
    </w:p>
    <w:p>
      <w:pPr>
        <w:pStyle w:val="Heading2"/>
        <w:spacing w:lineRule="auto"/>
        <w:ind w:firstLine="480"/>
        <w:jc w:val="center"/>
        <w:rPr/>
      </w:pPr>
      <w:r>
        <w:rPr>
          <w:b w:val="true"/>
        </w:rPr>
        <w:t>6.</w:t>
      </w:r>
      <w:r>
        <w:rPr/>
        <w:t xml:space="preserve"> Перечень документов, необходимых для оформления и получения лицензии</w:t>
      </w:r>
    </w:p>
    <w:p>
      <w:pPr>
        <w:spacing w:lineRule="auto"/>
        <w:ind w:firstLine="480"/>
        <w:jc w:val="both"/>
        <w:rPr>
          <w:sz w:val="24"/>
        </w:rPr>
      </w:pPr>
      <w:r>
        <w:rPr>
          <w:sz w:val="24"/>
        </w:rPr>
        <w:t>32. Для получения лицензии на осуществление деятельности по организации и проведению азартных игр и пари соискатель лицензии представляет в орган, уполномоченный на оформление и выдачу лицензии, следующие документы:</w:t>
      </w:r>
    </w:p>
    <w:p>
      <w:pPr>
        <w:spacing w:lineRule="auto"/>
        <w:ind w:firstLine="480"/>
        <w:jc w:val="both"/>
        <w:rPr>
          <w:sz w:val="24"/>
        </w:rPr>
      </w:pPr>
      <w:r>
        <w:rPr>
          <w:sz w:val="24"/>
        </w:rPr>
        <w:t>а) заявление о выдаче лицензии с указанием:</w:t>
      </w:r>
    </w:p>
    <w:p>
      <w:pPr>
        <w:spacing w:lineRule="auto"/>
        <w:ind w:firstLine="480"/>
        <w:jc w:val="both"/>
        <w:rPr>
          <w:sz w:val="24"/>
        </w:rPr>
      </w:pPr>
      <w:r>
        <w:rPr>
          <w:sz w:val="24"/>
        </w:rPr>
        <w:t>1) наименования, организационно-правовой формы и места нахождения юридического лица с указанием территориально обособленных объектов, а также сведений о государственной регистрации соискателя лицензии в качестве коммерческой организации;</w:t>
      </w:r>
    </w:p>
    <w:p>
      <w:pPr>
        <w:spacing w:lineRule="auto"/>
        <w:ind w:firstLine="480"/>
        <w:jc w:val="both"/>
        <w:rPr>
          <w:sz w:val="24"/>
        </w:rPr>
      </w:pPr>
      <w:r>
        <w:rPr>
          <w:sz w:val="24"/>
        </w:rPr>
        <w:t>2) лицензируемого вида деятельности, который юридическое лицо намерено осуществлять, и срока, в течение которого будет осуществляться лицензируемый вид деятельности;</w:t>
      </w:r>
    </w:p>
    <w:p>
      <w:pPr>
        <w:spacing w:lineRule="auto"/>
        <w:ind w:firstLine="480"/>
        <w:jc w:val="both"/>
        <w:rPr>
          <w:sz w:val="24"/>
        </w:rPr>
      </w:pPr>
      <w:r>
        <w:rPr>
          <w:sz w:val="24"/>
        </w:rPr>
        <w:t>б) нотариально удостоверенные и легализованные в установленном порядке копии учредительных документов и документа о государственной регистрации соискателя лицензии в качестве юридического лица, совместно с нотариально заверенным переводом на русский язык, - для иностранных юридических лиц;</w:t>
      </w:r>
    </w:p>
    <w:p>
      <w:pPr>
        <w:spacing w:lineRule="auto"/>
        <w:ind w:firstLine="480"/>
        <w:jc w:val="both"/>
        <w:rPr>
          <w:sz w:val="24"/>
        </w:rPr>
      </w:pPr>
      <w:r>
        <w:rPr>
          <w:sz w:val="24"/>
        </w:rPr>
        <w:t>в) свидетельство о постановке соискателя лицензии на учет в налоговом органе, которое представляется в рамках межведомственного взаимодействия;</w:t>
      </w:r>
    </w:p>
    <w:p>
      <w:pPr>
        <w:spacing w:lineRule="auto"/>
        <w:ind w:firstLine="480"/>
        <w:jc w:val="both"/>
        <w:rPr>
          <w:sz w:val="24"/>
        </w:rPr>
      </w:pPr>
      <w:r>
        <w:rPr>
          <w:sz w:val="24"/>
        </w:rPr>
        <w:t>г) разрешение на получение лицензии.</w:t>
      </w:r>
    </w:p>
    <w:p>
      <w:pPr>
        <w:spacing w:lineRule="auto"/>
        <w:ind w:firstLine="480"/>
        <w:jc w:val="both"/>
        <w:rPr>
          <w:sz w:val="24"/>
        </w:rPr>
      </w:pPr>
      <w:r>
        <w:rPr>
          <w:sz w:val="24"/>
        </w:rPr>
        <w:t>33. Для получения разрешения на получение лицензии (далее - разрешение) соискатель лицензии (лицензиат) обязан представить в уполномоченный орган, осуществляющий контроль (надзор) за деятельностью игорных заведений по организации и проведению азартных игр и пари, следующие документы:</w:t>
      </w:r>
    </w:p>
    <w:p>
      <w:pPr>
        <w:spacing w:lineRule="auto"/>
        <w:ind w:firstLine="480"/>
        <w:jc w:val="both"/>
        <w:rPr>
          <w:sz w:val="24"/>
        </w:rPr>
      </w:pPr>
      <w:r>
        <w:rPr>
          <w:sz w:val="24"/>
        </w:rPr>
        <w:t>а) заявление о выдаче разрешения с указанием:</w:t>
      </w:r>
    </w:p>
    <w:p>
      <w:pPr>
        <w:spacing w:lineRule="auto"/>
        <w:ind w:firstLine="480"/>
        <w:jc w:val="both"/>
        <w:rPr>
          <w:sz w:val="24"/>
        </w:rPr>
      </w:pPr>
      <w:r>
        <w:rPr>
          <w:sz w:val="24"/>
        </w:rPr>
        <w:t>1) наименования, организационно-правовой формы и места нахождения юридического лица с указанием территориально обособленных объектов, а также сведений о государственной регистрации соискателя лицензии (лицензиата) в качестве юридического лица;</w:t>
      </w:r>
    </w:p>
    <w:p>
      <w:pPr>
        <w:spacing w:lineRule="auto"/>
        <w:ind w:firstLine="480"/>
        <w:jc w:val="both"/>
        <w:rPr>
          <w:sz w:val="24"/>
        </w:rPr>
      </w:pPr>
      <w:r>
        <w:rPr>
          <w:sz w:val="24"/>
        </w:rPr>
        <w:t>2) вида деятельности по организации и проведению азартных игр и пари, который юридическое лицо намерено осуществлять (осуществляет), и срока, в течение которого будет осуществляться лицензируемый вид деятельности;</w:t>
      </w:r>
    </w:p>
    <w:p>
      <w:pPr>
        <w:spacing w:lineRule="auto"/>
        <w:ind w:firstLine="480"/>
        <w:jc w:val="both"/>
        <w:rPr>
          <w:sz w:val="24"/>
        </w:rPr>
      </w:pPr>
      <w:r>
        <w:rPr>
          <w:sz w:val="24"/>
        </w:rPr>
        <w:t>Заявление о выдаче разрешения может быть направлено в уполномоченный орган, осуществляющий контроль (надзор) за деятельностью игорных заведений по организации и проведению азартных игр и пари, в электронной форме посредством государственной информационной системы "Портал государственных услуг Приднестровской Молдавской Республики", при условии наличия электронной подписи заявителя;</w:t>
      </w:r>
    </w:p>
    <w:p>
      <w:pPr>
        <w:spacing w:lineRule="auto"/>
        <w:ind w:firstLine="480"/>
        <w:jc w:val="both"/>
        <w:rPr>
          <w:sz w:val="24"/>
        </w:rPr>
      </w:pPr>
      <w:r>
        <w:rPr>
          <w:sz w:val="24"/>
        </w:rPr>
        <w:t>б) копии учредительных документов соискателя лицензии (лицензиата) (с предъявлением оригиналов в случае, если копии не заверены нотариусом);</w:t>
      </w:r>
    </w:p>
    <w:p>
      <w:pPr>
        <w:spacing w:lineRule="auto"/>
        <w:ind w:firstLine="480"/>
        <w:jc w:val="both"/>
        <w:rPr>
          <w:sz w:val="24"/>
        </w:rPr>
      </w:pPr>
      <w:r>
        <w:rPr>
          <w:sz w:val="24"/>
        </w:rPr>
        <w:t>в) заверенные руководителем юридического лица сведения о сотрудниках, принимающих непосредственное участие в азартных играх и пари (фамилия, имя, отчество, дата рождения, должность), с приложением копий документов, подтверждающих, что данные сотрудники состоят в трудовых отношениях с игорным заведением. Количество сотрудников, принимающих непосредственное участие в азартных играх и пари, с учетом их рабочего времени и времени отдыха должно быть достаточным для обеспечения работы игорного заведения согласно установленному режиму работы игорного заведения;</w:t>
      </w:r>
    </w:p>
    <w:p>
      <w:pPr>
        <w:spacing w:lineRule="auto"/>
        <w:ind w:firstLine="480"/>
        <w:jc w:val="both"/>
        <w:rPr>
          <w:sz w:val="24"/>
        </w:rPr>
      </w:pPr>
      <w:r>
        <w:rPr>
          <w:sz w:val="24"/>
        </w:rPr>
        <w:t>г) копию договора о предоставлении охранных услуг или заверенные руководителем юридического лица копии документов, подтверждающих наличие в штате игорного заведения лиц, обеспечивающих безопасность участников азартных игр и пари, иных посетителей игорного заведения и сотрудников игорного заведения во время их нахождения в игорном заведении. Количество сотрудников, обеспечивающих безопасность, с учетом их рабочего времени и времени отдыха должно быть достаточным для обеспечения охраны игорного заведения согласно установленному режиму работы игорного заведения;</w:t>
      </w:r>
    </w:p>
    <w:p>
      <w:pPr>
        <w:spacing w:lineRule="auto"/>
        <w:ind w:firstLine="480"/>
        <w:jc w:val="both"/>
        <w:rPr>
          <w:sz w:val="24"/>
        </w:rPr>
      </w:pPr>
      <w:r>
        <w:rPr>
          <w:sz w:val="24"/>
        </w:rPr>
        <w:t>д) документ, подтверждающий соответствие размера оплаченного уставного капитала установленным лицензионным требованиям и условиям, а именно: действительная на дату предоставления документов справка из банка о размере оплаченного уставного капитала (при условии оплаты уставного капитала денежными средствами) либо действительное на дату подачи документов заключение об оценке стоимости неденежного вклада в уставный капитал, составленное независимым оценщиком;</w:t>
      </w:r>
    </w:p>
    <w:p>
      <w:pPr>
        <w:spacing w:lineRule="auto"/>
        <w:ind w:firstLine="480"/>
        <w:jc w:val="both"/>
        <w:rPr>
          <w:sz w:val="24"/>
        </w:rPr>
      </w:pPr>
      <w:r>
        <w:rPr>
          <w:sz w:val="24"/>
        </w:rPr>
        <w:t>е) документ о наличии у соискателя лицензии (лицензиата) на праве собственности или на ином законном основании зданий и помещений, необходимых для осуществления лицензируемой деятельности, размещение в которых для данного вида деятельности согласовано с главами государственных администраций соответствующих городов и районов.</w:t>
      </w:r>
    </w:p>
    <w:p>
      <w:pPr>
        <w:spacing w:lineRule="auto"/>
        <w:ind w:firstLine="480"/>
        <w:jc w:val="both"/>
        <w:rPr>
          <w:sz w:val="24"/>
        </w:rPr>
      </w:pPr>
      <w:r>
        <w:rPr>
          <w:sz w:val="24"/>
        </w:rPr>
        <w:t>ж) перечень игрового оборудования используемого игорным заведением в процессе проведения азартных игр и пари с указанием названия, модификации, заводского номера, года изготовления, места установки (за исключением букмекерских контор и тотализаторов);</w:t>
      </w:r>
    </w:p>
    <w:p>
      <w:pPr>
        <w:spacing w:lineRule="auto"/>
        <w:ind w:firstLine="480"/>
        <w:jc w:val="both"/>
        <w:rPr>
          <w:sz w:val="24"/>
        </w:rPr>
      </w:pPr>
      <w:r>
        <w:rPr>
          <w:sz w:val="24"/>
        </w:rPr>
        <w:t>з) перечень игорных заведений (объектов, место нахождения филиалов) по осуществлению деятельности тотализатора и (или) букмекерской конторы по организации и проведению пари (количество касс тотализаторов и (или) букмекерских контор);</w:t>
      </w:r>
    </w:p>
    <w:p>
      <w:pPr>
        <w:spacing w:lineRule="auto"/>
        <w:ind w:firstLine="480"/>
        <w:jc w:val="both"/>
        <w:rPr>
          <w:sz w:val="24"/>
        </w:rPr>
      </w:pPr>
      <w:r>
        <w:rPr>
          <w:sz w:val="24"/>
        </w:rPr>
        <w:t>и) копии документов, подтверждающих соответствие оборудования, используемого игорным заведением в процессе проведения азартных игр и пари, установленным требованиям действующего законодательства Приднестровской Молдавской Республики о сертификации.</w:t>
      </w:r>
    </w:p>
    <w:p>
      <w:pPr>
        <w:spacing w:lineRule="auto"/>
        <w:ind w:firstLine="480"/>
        <w:jc w:val="both"/>
        <w:rPr>
          <w:sz w:val="24"/>
        </w:rPr>
      </w:pPr>
      <w:r>
        <w:rPr>
          <w:sz w:val="24"/>
        </w:rPr>
        <w:t>к) документ о наличии у соискателя лицензии (лицензиата) на праве собственности или на ином законном основании игрового оборудования, используемого игорным заведением в процессе проведения азартных игр и пари, размещенного в местах осуществления деятельности по организации и проведению азартных игр и пари;</w:t>
      </w:r>
    </w:p>
    <w:p>
      <w:pPr>
        <w:spacing w:lineRule="auto"/>
        <w:ind w:firstLine="480"/>
        <w:jc w:val="both"/>
        <w:rPr>
          <w:sz w:val="24"/>
        </w:rPr>
      </w:pPr>
      <w:r>
        <w:rPr>
          <w:sz w:val="24"/>
        </w:rPr>
        <w:t>л) правила организации и проведения азартных игр и пари, утвержденные руководителем игорного заведения, по каждому виду игр и пари и оформленные с учетом требований действующего законодательства Приднестровской Молдавской Республики.</w:t>
      </w:r>
    </w:p>
    <w:p>
      <w:pPr>
        <w:spacing w:lineRule="auto"/>
        <w:ind w:firstLine="480"/>
        <w:jc w:val="both"/>
        <w:rPr>
          <w:sz w:val="24"/>
        </w:rPr>
      </w:pPr>
      <w:r>
        <w:rPr>
          <w:color w:val="FF0000"/>
          <w:sz w:val="24"/>
        </w:rPr>
        <w:t>Исключен(-а)</w:t>
      </w:r>
    </w:p>
    <w:p>
      <w:pPr>
        <w:spacing w:lineRule="auto"/>
        <w:ind w:firstLine="480"/>
        <w:jc w:val="both"/>
        <w:rPr>
          <w:sz w:val="24"/>
        </w:rPr>
      </w:pPr>
      <w:r>
        <w:rPr>
          <w:sz w:val="24"/>
        </w:rPr>
        <w:t>Документы, указанные в подпунктах "б"-"л" части первой настоящего пункта, могут быть направлены в уполномоченный орган, осуществляющий контроль (надзор) за деятельностью игорных заведений по организации и проведению азартных игр и пари, в электронной форме посредством государственной информационной системы "Портал государственных услуг Приднестровской Молдавской Республики.</w:t>
      </w:r>
    </w:p>
    <w:p>
      <w:pPr>
        <w:spacing w:lineRule="auto"/>
        <w:ind w:firstLine="480"/>
        <w:jc w:val="both"/>
        <w:rPr>
          <w:sz w:val="24"/>
        </w:rPr>
      </w:pPr>
      <w:r>
        <w:rPr>
          <w:sz w:val="24"/>
        </w:rPr>
        <w:t>34. Уполномоченный орган, осуществляющий контроль (надзор) за деятельностью игорных заведений по организации и проведению азартных игр и пари, имеет право получать сведения о государственной регистрации соискателя лицензии (лицензиата) в качестве юридического лица от органа государственной власти, в ведении которого находятся данные сведения.</w:t>
      </w:r>
    </w:p>
    <w:p>
      <w:pPr>
        <w:spacing w:lineRule="auto"/>
        <w:ind w:firstLine="480"/>
        <w:jc w:val="both"/>
        <w:rPr>
          <w:sz w:val="24"/>
        </w:rPr>
      </w:pPr>
      <w:r>
        <w:rPr>
          <w:sz w:val="24"/>
        </w:rPr>
        <w:t>В целях проверки полученной информации уполномоченный орган, осуществляющий контроль (надзор) за деятельностью игорных заведений по организации и проведению азартных игр и пари, вправе выезжать на место нахождения объекта (здания, сооружения), а также направлять в органы государственной власти, организации запросы в письменной форме о представлении (в пределах их компетенции) информации, касающейся документов, представленных соискателем лицензии (лицензиатом) в соответствии с действующим законодательством Приднестровской Молдавской Республики.</w:t>
      </w:r>
    </w:p>
    <w:p>
      <w:pPr>
        <w:spacing w:lineRule="auto"/>
        <w:ind w:firstLine="480"/>
        <w:jc w:val="both"/>
        <w:rPr>
          <w:sz w:val="24"/>
        </w:rPr>
      </w:pPr>
      <w:r>
        <w:rPr>
          <w:sz w:val="24"/>
        </w:rPr>
        <w:t>При проведении экспертизы документов уполномоченный орган, осуществляющий контроль (надзор) за деятельностью игорных заведений по организации и проведению азартных игр и пари, вправе истребовать у соискателя лицензии (лицензиата) оригиналы (нотариально заверенные копии) документов, направленных в электронной форме посредством государственной информационной системы "Портал государственных услуг Приднестровской Молдавской Республики.</w:t>
      </w:r>
    </w:p>
    <w:p>
      <w:pPr>
        <w:spacing w:lineRule="auto"/>
        <w:ind w:firstLine="480"/>
        <w:jc w:val="both"/>
        <w:rPr>
          <w:sz w:val="24"/>
        </w:rPr>
      </w:pPr>
      <w:r>
        <w:rPr>
          <w:sz w:val="24"/>
        </w:rPr>
        <w:t>35. После проведения экспертизы документов, указанных в пунктах 33, 34 настоящего Положения, уполномоченный орган, осуществляющий контроль (надзор) за деятельностью игорных заведений по организации и проведению азартных игр и пари, выдает (направляет) разрешение.</w:t>
      </w:r>
    </w:p>
    <w:p>
      <w:pPr>
        <w:spacing w:lineRule="auto"/>
        <w:ind w:firstLine="480"/>
        <w:jc w:val="both"/>
        <w:rPr>
          <w:sz w:val="24"/>
        </w:rPr>
      </w:pPr>
      <w:r>
        <w:rPr>
          <w:sz w:val="24"/>
        </w:rPr>
        <w:t>36. Об изменениях, внесенных в документы, явившиеся основанием для получения разрешения на получение лицензии, игорное заведение обязано сообщать в письменной форме в уполномоченный орган, осуществляющий контроль (надзор) за деятельностью игорных заведений по организации и проведению азартных игр и пари, и одновременно представлять документы, подтверждающие эти изменения, в течение 10 рабочих дней со дня внесения этих изменений.</w:t>
      </w:r>
    </w:p>
    <w:p>
      <w:pPr>
        <w:spacing w:lineRule="auto"/>
        <w:ind w:firstLine="480"/>
        <w:jc w:val="both"/>
        <w:rPr>
          <w:sz w:val="24"/>
        </w:rPr>
      </w:pPr>
      <w:r>
        <w:rPr>
          <w:sz w:val="24"/>
        </w:rPr>
        <w:t>37. Документы, представленные в уполномоченный орган, осуществляющий контроль (надзор) за деятельностью игорных заведений по организации и проведению азартных игр и пари, для получения разрешения, должны соответствовать действующему законодательству Приднестровской Молдавской Республики.</w:t>
      </w:r>
    </w:p>
    <w:p>
      <w:pPr>
        <w:spacing w:lineRule="auto"/>
        <w:ind w:firstLine="480"/>
        <w:jc w:val="both"/>
        <w:rPr>
          <w:sz w:val="24"/>
        </w:rPr>
      </w:pPr>
      <w:r>
        <w:rPr>
          <w:sz w:val="24"/>
        </w:rPr>
        <w:t>38. Уполномоченный орган, осуществляющий контроль (надзор) за деятельностью игорных заведений по организации и проведению азартных игр и пари, вправе отказать в выдаче разрешения по следующим основаниям:</w:t>
      </w:r>
    </w:p>
    <w:p>
      <w:pPr>
        <w:spacing w:lineRule="auto"/>
        <w:ind w:firstLine="480"/>
        <w:jc w:val="both"/>
        <w:rPr>
          <w:sz w:val="24"/>
        </w:rPr>
      </w:pPr>
      <w:r>
        <w:rPr>
          <w:sz w:val="24"/>
        </w:rPr>
        <w:t>а) наличие в документах, представленных соискателем лицензии (лицензиатом), недостоверной или искаженной информации;</w:t>
      </w:r>
    </w:p>
    <w:p>
      <w:pPr>
        <w:spacing w:lineRule="auto"/>
        <w:ind w:firstLine="480"/>
        <w:jc w:val="both"/>
        <w:rPr>
          <w:sz w:val="24"/>
        </w:rPr>
      </w:pPr>
      <w:r>
        <w:rPr>
          <w:sz w:val="24"/>
        </w:rPr>
        <w:t>б) ненадлежащее оформление документов, представленных для получения разрешения (несоответствие документа в части формы и содержания, отсутствия либо несоответствия подписей уполномоченных лиц, печатей и штампов, утвержденных в установленном порядке);</w:t>
      </w:r>
    </w:p>
    <w:p>
      <w:pPr>
        <w:spacing w:lineRule="auto"/>
        <w:ind w:firstLine="480"/>
        <w:jc w:val="both"/>
        <w:rPr>
          <w:sz w:val="24"/>
        </w:rPr>
      </w:pPr>
      <w:r>
        <w:rPr>
          <w:sz w:val="24"/>
        </w:rPr>
        <w:t>в) несоответствие документов, поданных для получения разрешения, действующему законодательству Приднестровской Молдавской Республики;</w:t>
      </w:r>
    </w:p>
    <w:p>
      <w:pPr>
        <w:spacing w:lineRule="auto"/>
        <w:ind w:firstLine="480"/>
        <w:jc w:val="both"/>
        <w:rPr>
          <w:sz w:val="24"/>
        </w:rPr>
      </w:pPr>
      <w:r>
        <w:rPr>
          <w:sz w:val="24"/>
        </w:rPr>
        <w:t>г) несоответствие соискателя лицензии (лицензиата) лицензионным требованиям и условиям, в том числе, оговоренным законом, регулирующим конкретный вид деятельности.</w:t>
      </w:r>
    </w:p>
    <w:p>
      <w:pPr>
        <w:spacing w:lineRule="auto"/>
        <w:ind w:firstLine="480"/>
        <w:jc w:val="both"/>
        <w:rPr>
          <w:sz w:val="24"/>
        </w:rPr>
      </w:pPr>
      <w:r>
        <w:rPr>
          <w:sz w:val="24"/>
        </w:rPr>
        <w:t>В случае принятия решения об отказе в выдаче разрешения соискателю лицензии (лицензиату) направляется (вручается) уведомление об отказе в выдаче разрешения в письменной форме с указанием причин отказа.</w:t>
      </w:r>
    </w:p>
    <w:p>
      <w:pPr>
        <w:pStyle w:val="Heading2"/>
        <w:spacing w:lineRule="auto"/>
        <w:ind w:firstLine="480"/>
        <w:jc w:val="center"/>
        <w:rPr/>
      </w:pPr>
      <w:r>
        <w:rPr>
          <w:b w:val="true"/>
        </w:rPr>
        <w:t>7.</w:t>
      </w:r>
      <w:r>
        <w:rPr/>
        <w:t xml:space="preserve"> Порядок выдачи лицензий</w:t>
      </w:r>
    </w:p>
    <w:p>
      <w:pPr>
        <w:spacing w:lineRule="auto"/>
        <w:ind w:firstLine="480"/>
        <w:jc w:val="both"/>
        <w:rPr>
          <w:sz w:val="24"/>
        </w:rPr>
      </w:pPr>
      <w:r>
        <w:rPr>
          <w:sz w:val="24"/>
        </w:rPr>
        <w:t>39. Соискатель лицензии представляет в орган, уполномоченный на оформление и выдачу лицензий, документы, предусмотренные пунктам 32 настоящего Положения. Все документы, представленные для получения лицензии, принимаются по описи, копия которой с отметкой о приеме документов направляется или вручается соискателю лицензии с отметкой о дате приема документов уполномоченным органом.</w:t>
      </w:r>
    </w:p>
    <w:p>
      <w:pPr>
        <w:spacing w:lineRule="auto"/>
        <w:ind w:firstLine="480"/>
        <w:jc w:val="both"/>
        <w:rPr>
          <w:sz w:val="24"/>
        </w:rPr>
      </w:pPr>
      <w:r>
        <w:rPr>
          <w:sz w:val="24"/>
        </w:rPr>
        <w:t>40. За предоставление недостоверных или искаженных сведений соискатель лицензии несет ответственность в соответствии с действующим законодательством Приднестровской Молдавской Республики.</w:t>
      </w:r>
    </w:p>
    <w:p>
      <w:pPr>
        <w:spacing w:lineRule="auto"/>
        <w:ind w:firstLine="480"/>
        <w:jc w:val="both"/>
        <w:rPr>
          <w:sz w:val="24"/>
        </w:rPr>
      </w:pPr>
      <w:r>
        <w:rPr>
          <w:sz w:val="24"/>
        </w:rPr>
        <w:t>41. Орган, уполномоченный на оформление и выдачу лицензий, принимает решение о выдаче или об отказе в выдаче лицензии в срок, не превышающий 3 (трех) рабочих дней со дня получения заявления со всеми необходимыми документами.</w:t>
      </w:r>
    </w:p>
    <w:p>
      <w:pPr>
        <w:spacing w:lineRule="auto"/>
        <w:ind w:firstLine="480"/>
        <w:jc w:val="both"/>
        <w:rPr>
          <w:sz w:val="24"/>
        </w:rPr>
      </w:pPr>
      <w:r>
        <w:rPr>
          <w:sz w:val="24"/>
        </w:rPr>
        <w:t>42. Уведомление о выдаче лицензии направляется или вручается соискателю лицензии в письменной форме с указанием реквизитов банковского счета и срока оплаты лицензионного сбора.</w:t>
      </w:r>
    </w:p>
    <w:p>
      <w:pPr>
        <w:spacing w:lineRule="auto"/>
        <w:ind w:firstLine="480"/>
        <w:jc w:val="both"/>
        <w:rPr>
          <w:sz w:val="24"/>
        </w:rPr>
      </w:pPr>
      <w:r>
        <w:rPr>
          <w:sz w:val="24"/>
        </w:rPr>
        <w:t>43. Выдача лицензии производится в течение 1 (одного) рабочего дня со дня подтверждения оплаты лицензионного сбора за выдачу лицензии.</w:t>
      </w:r>
    </w:p>
    <w:p>
      <w:pPr>
        <w:spacing w:lineRule="auto"/>
        <w:ind w:firstLine="480"/>
        <w:jc w:val="both"/>
        <w:rPr>
          <w:sz w:val="24"/>
        </w:rPr>
      </w:pPr>
      <w:r>
        <w:rPr>
          <w:sz w:val="24"/>
        </w:rPr>
        <w:t>44. Лицензия выдается в единственном экземпляре.</w:t>
      </w:r>
    </w:p>
    <w:p>
      <w:pPr>
        <w:spacing w:lineRule="auto"/>
        <w:ind w:firstLine="480"/>
        <w:jc w:val="both"/>
        <w:rPr>
          <w:sz w:val="24"/>
        </w:rPr>
      </w:pPr>
      <w:r>
        <w:rPr>
          <w:sz w:val="24"/>
        </w:rPr>
        <w:t>45. Решение об отказе в выдаче лицензии должно быть мотивированным и оформляется исключительно в письменной форме с указанием конкретных причин отказа, положений конкретного нормативного правового акта, в соответствии с которым принято решение об отказе.</w:t>
      </w:r>
    </w:p>
    <w:p>
      <w:pPr>
        <w:spacing w:lineRule="auto"/>
        <w:ind w:firstLine="480"/>
        <w:jc w:val="both"/>
        <w:rPr>
          <w:sz w:val="24"/>
        </w:rPr>
      </w:pPr>
      <w:r>
        <w:rPr>
          <w:sz w:val="24"/>
        </w:rPr>
        <w:t>В случае принятия решения об отказе в выдаче лицензии соискателю лицензии в срок, не превышающий 3 (трех) рабочих дней, со дня получения заявления соискателя лицензии о выдаче лицензии с приложением всех необходимых документов, направляется (вручается) уведомление об отказе в выдаче лицензии в письменной форме с указанием причин отказа.</w:t>
      </w:r>
    </w:p>
    <w:p>
      <w:pPr>
        <w:spacing w:lineRule="auto"/>
        <w:ind w:firstLine="480"/>
        <w:jc w:val="both"/>
        <w:rPr>
          <w:sz w:val="24"/>
        </w:rPr>
      </w:pPr>
      <w:r>
        <w:rPr>
          <w:sz w:val="24"/>
        </w:rPr>
        <w:t>Отказ по мотивам нецелесообразности не допускается.</w:t>
      </w:r>
    </w:p>
    <w:p>
      <w:pPr>
        <w:spacing w:lineRule="auto"/>
        <w:ind w:firstLine="480"/>
        <w:jc w:val="both"/>
        <w:rPr>
          <w:sz w:val="24"/>
        </w:rPr>
      </w:pPr>
      <w:r>
        <w:rPr>
          <w:sz w:val="24"/>
        </w:rPr>
        <w:t>Отказ в выдаче лицензии или бездействие органа, уполномоченного на оформление и выдачу лицензий, могут быть обжалованы соискателем лицензии в судебном порядке.</w:t>
      </w:r>
    </w:p>
    <w:p>
      <w:pPr>
        <w:spacing w:lineRule="auto"/>
        <w:ind w:firstLine="480"/>
        <w:jc w:val="both"/>
        <w:rPr>
          <w:sz w:val="24"/>
        </w:rPr>
      </w:pPr>
      <w:r>
        <w:rPr>
          <w:sz w:val="24"/>
        </w:rPr>
        <w:t>46. Основанием для отказа в выдаче лицензии является:</w:t>
      </w:r>
    </w:p>
    <w:p>
      <w:pPr>
        <w:spacing w:lineRule="auto"/>
        <w:ind w:firstLine="480"/>
        <w:jc w:val="both"/>
        <w:rPr>
          <w:sz w:val="24"/>
        </w:rPr>
      </w:pPr>
      <w:r>
        <w:rPr>
          <w:sz w:val="24"/>
        </w:rPr>
        <w:t>а) наличие в документах, представленных соискателем лицензии, недостоверной и (или) искаженной информации;</w:t>
      </w:r>
    </w:p>
    <w:p>
      <w:pPr>
        <w:spacing w:lineRule="auto"/>
        <w:ind w:firstLine="480"/>
        <w:jc w:val="both"/>
        <w:rPr>
          <w:sz w:val="24"/>
        </w:rPr>
      </w:pPr>
      <w:r>
        <w:rPr>
          <w:sz w:val="24"/>
        </w:rPr>
        <w:t>б) несоответствие соискателя лицензии лицензионным требованиям и условиям, в том числе оговоренных законом, регулирующим конкретный вид деятельности.</w:t>
      </w:r>
    </w:p>
    <w:p>
      <w:pPr>
        <w:spacing w:lineRule="auto"/>
        <w:ind w:firstLine="480"/>
        <w:jc w:val="both"/>
        <w:rPr>
          <w:sz w:val="24"/>
        </w:rPr>
      </w:pPr>
      <w:r>
        <w:rPr>
          <w:sz w:val="24"/>
        </w:rPr>
        <w:t>47. Срок действия лицензии по его окончании может быть продлен по заявлению лицензиата. Продление срока действия лицензии осуществляется в порядке ее переоформления.</w:t>
      </w:r>
    </w:p>
    <w:p>
      <w:pPr>
        <w:spacing w:lineRule="auto"/>
        <w:ind w:firstLine="480"/>
        <w:jc w:val="both"/>
        <w:rPr>
          <w:sz w:val="24"/>
        </w:rPr>
      </w:pPr>
      <w:r>
        <w:rPr>
          <w:sz w:val="24"/>
        </w:rPr>
        <w:t>48. В орган, уполномоченный на оформление и выдачу лицензии с заявлением о продлении срока действия лицензии, лицензиат представляет заключение уполномоченного органа, осуществляющего контроль (надзор) за деятельностью игорных заведений по организации и проведению азартных игр и пари, об отсутствии нарушений за время действия лицензии.</w:t>
      </w:r>
    </w:p>
    <w:p>
      <w:pPr>
        <w:spacing w:lineRule="auto"/>
        <w:ind w:firstLine="480"/>
        <w:jc w:val="both"/>
        <w:rPr>
          <w:sz w:val="24"/>
        </w:rPr>
      </w:pPr>
      <w:r>
        <w:rPr>
          <w:sz w:val="24"/>
        </w:rPr>
        <w:t>49. Порядок переоформления, приостановления, возобновления или аннулирования лицензии осуществляется в соответствии с установленными требованиями действующего законодательства Приднестровской Молдавской Республики.</w:t>
      </w:r>
    </w:p>
    <w:p>
      <w:pPr>
        <w:pStyle w:val="Heading2"/>
        <w:spacing w:lineRule="auto"/>
        <w:ind w:firstLine="480"/>
        <w:jc w:val="center"/>
        <w:rPr/>
      </w:pPr>
      <w:r>
        <w:rPr>
          <w:b w:val="true"/>
        </w:rPr>
        <w:t>8.</w:t>
      </w:r>
      <w:r>
        <w:rPr/>
        <w:t xml:space="preserve"> Государственный контроль (надзор) за соблюдением лицензионных требований</w:t>
      </w:r>
    </w:p>
    <w:p>
      <w:pPr>
        <w:spacing w:lineRule="auto"/>
        <w:ind w:firstLine="480"/>
        <w:jc w:val="both"/>
        <w:rPr>
          <w:sz w:val="24"/>
        </w:rPr>
      </w:pPr>
      <w:r>
        <w:rPr>
          <w:sz w:val="24"/>
        </w:rPr>
        <w:t>50. Государственный контроль (надзор) за соблюдением лицензионных требований и условий осуществления игорным заведением деятельности по организации и проведению азартных игр и пари осуществляет уполномоченный исполнительный орган государственной власти Приднестровской Молдавской Республики, в ведении которого находятся функции контроля (надзора) в сфере деятельности по организации и проведению азартных игр и пари, согласно действующему законодательству Приднестровской Молдавской Республики.</w:t>
      </w:r>
    </w:p>
    <w:p>
      <w:pPr>
        <w:pStyle w:val="NormalWeb"/>
        <w:spacing w:lineRule="auto"/>
        <w:jc w:val="right"/>
        <w:rPr>
          <w:sz w:val="24"/>
        </w:rPr>
      </w:pPr>
      <w:r>
        <w:rPr>
          <w:sz w:val="24"/>
        </w:rPr>
        <w:t>Приложение № 2</w:t>
      </w:r>
      <w:r>
        <w:br/>
      </w:r>
      <w:r>
        <w:rPr>
          <w:sz w:val="24"/>
        </w:rPr>
        <w:t>к Постановлению Правительства</w:t>
      </w:r>
      <w:r>
        <w:br/>
      </w:r>
      <w:r>
        <w:rPr>
          <w:sz w:val="24"/>
        </w:rPr>
        <w:t>Приднестровской Молдавской Республики</w:t>
      </w:r>
      <w:r>
        <w:br/>
      </w:r>
      <w:r>
        <w:rPr>
          <w:sz w:val="24"/>
        </w:rPr>
        <w:t>от 26 ноября 2013 года № 282</w:t>
      </w:r>
    </w:p>
    <w:p>
      <w:pPr>
        <w:pStyle w:val="NormalWeb"/>
        <w:spacing w:lineRule="auto"/>
        <w:jc w:val="center"/>
        <w:rPr>
          <w:sz w:val="24"/>
        </w:rPr>
      </w:pPr>
      <w:r>
        <w:rPr>
          <w:sz w:val="24"/>
        </w:rPr>
        <w:t>Разрешение</w:t>
      </w:r>
      <w:r>
        <w:br/>
      </w:r>
      <w:r>
        <w:rPr>
          <w:sz w:val="24"/>
        </w:rPr>
        <w:t>на получение лицензии</w:t>
      </w:r>
    </w:p>
    <w:p>
      <w:pPr>
        <w:spacing w:lineRule="auto"/>
        <w:ind w:firstLine="480"/>
        <w:jc w:val="both"/>
        <w:rPr>
          <w:sz w:val="24"/>
        </w:rPr>
      </w:pPr>
      <w:r>
        <w:rPr>
          <w:sz w:val="24"/>
        </w:rPr>
        <w:t>____________________________________________________________________________</w:t>
      </w:r>
      <w:r>
        <w:br/>
      </w:r>
      <w:r>
        <w:rPr>
          <w:rFonts w:ascii="Segoe Ui" w:hAnsi="Segoe Ui" w:cs="Segoe Ui"/>
          <w:i w:val="true"/>
          <w:sz w:val="24"/>
        </w:rPr>
        <w:t>наименование юридического лица (коммерческой организации), юридический адрес</w:t>
      </w:r>
    </w:p>
    <w:p>
      <w:pPr>
        <w:spacing w:lineRule="auto"/>
        <w:ind w:firstLine="480"/>
        <w:jc w:val="both"/>
        <w:rPr>
          <w:sz w:val="24"/>
        </w:rPr>
      </w:pPr>
      <w:r>
        <w:rPr>
          <w:sz w:val="24"/>
        </w:rPr>
        <w:t>на осуществление ____________________________________________________________</w:t>
      </w:r>
      <w:r>
        <w:br/>
      </w:r>
      <w:r>
        <w:rPr>
          <w:rFonts w:ascii="Segoe Ui" w:hAnsi="Segoe Ui" w:cs="Segoe Ui"/>
          <w:i w:val="true"/>
          <w:sz w:val="24"/>
        </w:rPr>
        <w:t>вид деятельности по организации и проведению азартных игр и пари разрешенный в ПМР</w:t>
      </w:r>
    </w:p>
    <w:p>
      <w:pPr>
        <w:spacing w:lineRule="auto"/>
        <w:ind w:firstLine="480"/>
        <w:jc w:val="both"/>
        <w:rPr>
          <w:sz w:val="24"/>
        </w:rPr>
      </w:pPr>
      <w:r>
        <w:rPr>
          <w:sz w:val="24"/>
        </w:rPr>
        <w:t>на основании сведений, подтверждающих соответствие соискателя лицензии (лицензиата) требованиям и условиям, предъявляемым действующим законодательством Приднестровской Молдавской Республики к игорным заведениям:</w:t>
      </w:r>
    </w:p>
    <w:p>
      <w:pPr>
        <w:spacing w:lineRule="auto"/>
        <w:ind w:firstLine="480"/>
        <w:jc w:val="both"/>
        <w:rPr>
          <w:sz w:val="24"/>
        </w:rPr>
      </w:pPr>
      <w:r>
        <w:rPr>
          <w:sz w:val="24"/>
        </w:rPr>
        <w:t>1. Сведения о сотрудниках: ___________________________________________________</w:t>
      </w:r>
      <w:r>
        <w:br/>
      </w:r>
      <w:r>
        <w:rPr>
          <w:sz w:val="24"/>
        </w:rPr>
        <w:t>____________________________________________________________________________</w:t>
      </w:r>
      <w:r>
        <w:br/>
      </w:r>
      <w:r>
        <w:rPr>
          <w:sz w:val="24"/>
        </w:rPr>
        <w:t>____________________________________________________________________________</w:t>
      </w:r>
    </w:p>
    <w:p>
      <w:pPr>
        <w:spacing w:lineRule="auto"/>
        <w:ind w:firstLine="480"/>
        <w:jc w:val="both"/>
        <w:rPr>
          <w:sz w:val="24"/>
        </w:rPr>
      </w:pPr>
      <w:r>
        <w:rPr>
          <w:sz w:val="24"/>
        </w:rPr>
        <w:t>2. Размер оплаченного уставного капитала: ______________________________________</w:t>
      </w:r>
      <w:r>
        <w:br/>
      </w:r>
      <w:r>
        <w:rPr>
          <w:sz w:val="24"/>
        </w:rPr>
        <w:t>____________________________________________________________________________</w:t>
      </w:r>
    </w:p>
    <w:p>
      <w:pPr>
        <w:spacing w:lineRule="auto"/>
        <w:ind w:firstLine="480"/>
        <w:jc w:val="both"/>
        <w:rPr>
          <w:sz w:val="24"/>
        </w:rPr>
      </w:pPr>
      <w:r>
        <w:rPr>
          <w:sz w:val="24"/>
        </w:rPr>
        <w:t>3. Сведения об используемом оборудовании: _____________________________________</w:t>
      </w:r>
      <w:r>
        <w:br/>
      </w:r>
      <w:r>
        <w:rPr>
          <w:sz w:val="24"/>
        </w:rPr>
        <w:t>____________________________________________________________________________</w:t>
      </w:r>
      <w:r>
        <w:br/>
      </w:r>
      <w:r>
        <w:rPr>
          <w:sz w:val="24"/>
        </w:rPr>
        <w:t>____________________________________________________________________________</w:t>
      </w:r>
      <w:r>
        <w:br/>
      </w:r>
      <w:r>
        <w:rPr>
          <w:sz w:val="24"/>
        </w:rPr>
        <w:t>____________________________________________________________________________</w:t>
      </w:r>
    </w:p>
    <w:p>
      <w:pPr>
        <w:spacing w:lineRule="auto"/>
        <w:ind w:firstLine="480"/>
        <w:jc w:val="both"/>
        <w:rPr>
          <w:sz w:val="24"/>
        </w:rPr>
      </w:pPr>
      <w:r>
        <w:rPr>
          <w:sz w:val="24"/>
        </w:rPr>
        <w:t>4. Сведения об объекте, в котором или с помощью которого будет осуществляться лицензируемый вид деятельности (здании, сооружении):</w:t>
      </w:r>
      <w:r>
        <w:br/>
      </w:r>
      <w:r>
        <w:rPr>
          <w:sz w:val="24"/>
        </w:rPr>
        <w:t>____________________________________________________________________________</w:t>
      </w:r>
      <w:r>
        <w:br/>
      </w:r>
      <w:r>
        <w:rPr>
          <w:sz w:val="24"/>
        </w:rPr>
        <w:t>____________________________________________________________________________</w:t>
      </w:r>
      <w:r>
        <w:br/>
      </w:r>
      <w:r>
        <w:rPr>
          <w:sz w:val="24"/>
        </w:rPr>
        <w:t>____________________________________________________________________________</w:t>
      </w:r>
      <w:r>
        <w:br/>
      </w:r>
      <w:r>
        <w:rPr>
          <w:sz w:val="24"/>
        </w:rPr>
        <w:t>____________________________________________________________________________</w:t>
      </w:r>
      <w:r>
        <w:br/>
      </w:r>
      <w:r>
        <w:rPr>
          <w:sz w:val="24"/>
        </w:rPr>
        <w:t>____________________________________________________________________________</w:t>
      </w:r>
      <w:r>
        <w:br/>
      </w:r>
      <w:r>
        <w:rPr>
          <w:sz w:val="24"/>
        </w:rPr>
        <w:t>____________________________________________________________________________</w:t>
      </w:r>
    </w:p>
    <w:p>
      <w:pPr>
        <w:spacing w:lineRule="auto"/>
        <w:ind w:firstLine="480"/>
        <w:jc w:val="both"/>
        <w:rPr>
          <w:sz w:val="24"/>
        </w:rPr>
      </w:pPr>
      <w:r>
        <w:rPr>
          <w:sz w:val="24"/>
        </w:rPr>
        <w:t>5. Ф. И. О. руководителя: ______________________________________________________</w:t>
      </w:r>
      <w:r>
        <w:br/>
      </w:r>
      <w:r>
        <w:rPr>
          <w:sz w:val="24"/>
        </w:rPr>
        <w:t>____________________________________________________________________________</w:t>
      </w:r>
      <w:r>
        <w:br/>
      </w:r>
      <w:r>
        <w:rPr>
          <w:sz w:val="24"/>
        </w:rPr>
        <w:t>____________________________________________________________________________</w:t>
      </w:r>
      <w:r>
        <w:br/>
      </w:r>
      <w:r>
        <w:rPr>
          <w:sz w:val="24"/>
        </w:rPr>
        <w:t>____________________________________________________________________________</w:t>
      </w:r>
    </w:p>
    <w:p>
      <w:pPr>
        <w:pStyle w:val="NormalWeb"/>
        <w:spacing w:lineRule="auto"/>
        <w:jc w:val="left"/>
        <w:rPr>
          <w:sz w:val="24"/>
        </w:rPr>
      </w:pPr>
      <w:r>
        <w:rPr>
          <w:sz w:val="24"/>
        </w:rPr>
        <w:t>Руководитель Министерства финансов</w:t>
      </w:r>
      <w:r>
        <w:br/>
      </w:r>
      <w:r>
        <w:rPr>
          <w:sz w:val="24"/>
        </w:rPr>
        <w:t>Приднестровской Молдавской Республики</w:t>
      </w:r>
    </w:p>
    <w:sectPr>
      <w:headerReference r:id="rId2" w:type="default"/>
      <w:footerReference r:id="rId3" w:type="default"/>
    </w:sectPr>
  </w:body>
</w:document>
</file>

<file path=word/footer1.xml><?xml version="1.0" encoding="utf-8"?>
<w:ftr xmlns:w="http://schemas.openxmlformats.org/wordprocessingml/2006/main">
  <w:p>
    <w:pPr>
      <w:jc w:val="right"/>
      <w:rPr/>
    </w:pPr>
    <w:r>
      <w:rPr/>
      <w:t>для внутреннего пользования</w:t>
    </w:r>
  </w:p>
</w:ftr>
</file>

<file path=word/header1.xml><?xml version="1.0" encoding="utf-8"?>
<w:hdr xmlns:r="http://schemas.openxmlformats.org/officeDocument/2006/relationships" xmlns:w="http://schemas.openxmlformats.org/wordprocessingml/2006/main">
  <w:p>
    <w:pPr>
      <w:rPr/>
    </w:pPr>
    <w:r>
      <w:rPr>
        <w:b w:val="true"/>
      </w:rPr>
      <w:t xml:space="preserve">© Законы Приднестровья, </w:t>
    </w:r>
    <w:r>
      <w:rPr/>
      <w:t>ООО "АйСиТи"</w:t>
    </w:r>
  </w:p>
</w:hdr>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head" w:type="paragraph" w:default="false" w:customStyle="false">
    <w:name w:val="head"/>
    <w:basedOn w:val="Normal"/>
    <w:pPr>
      <w:spacing w:after="100" w:before="100" w:afterAutospacing="true" w:beforeAutospacing="true"/>
      <w:jc w:val="center"/>
    </w:pPr>
    <w:rPr>
      <w:sz w:val="28"/>
    </w:rPr>
  </w:style>
  <w:style w:styleId="nolink" w:type="paragraph" w:default="false" w:customStyle="false">
    <w:name w:val="nolink"/>
    <w:basedOn w:val="Normal"/>
    <w:pPr>
      <w:spacing w:after="100" w:before="100" w:afterAutospacing="true" w:beforeAutospacing="true"/>
    </w:pPr>
    <w:rPr>
      <w:color w:val="FF0000"/>
    </w:rPr>
  </w:style>
  <w:style w:styleId="plink" w:type="paragraph" w:default="false" w:customStyle="false">
    <w:name w:val="plink"/>
    <w:basedOn w:val="Normal"/>
    <w:pPr>
      <w:spacing w:after="100" w:before="100" w:afterAutospacing="true" w:beforeAutospacing="true"/>
    </w:pPr>
    <w:rPr/>
  </w:style>
  <w:style w:styleId="repealed" w:type="paragraph" w:default="false" w:customStyle="false">
    <w:name w:val="repealed"/>
    <w:basedOn w:val="Normal"/>
    <w:pPr>
      <w:spacing w:after="100" w:before="100" w:afterAutospacing="true" w:beforeAutospacing="true"/>
    </w:pPr>
    <w:rPr>
      <w:strike w:val="true"/>
      <w:color w:val="B65843"/>
    </w:rPr>
  </w:style>
  <w:style w:styleId="textdoc" w:type="paragraph" w:default="false" w:customStyle="false">
    <w:name w:val="textdoc"/>
    <w:basedOn w:val="Normal"/>
    <w:pPr>
      <w:spacing w:after="100" w:before="100" w:afterAutospacing="true" w:beforeAutospacing="true"/>
    </w:pPr>
    <w:rPr/>
  </w:style>
  <w:style w:styleId="Heading1" w:type="paragraph" w:default="false" w:customStyle="false">
    <w:name w:val="Heading 1"/>
    <w:basedOn w:val="Normal"/>
    <w:next w:val="Normal"/>
    <w:link w:val="Heading1Char"/>
    <w:uiPriority w:val="9"/>
    <w:qFormat w:val="true"/>
    <w:pPr>
      <w:keepLines w:val="true"/>
      <w:spacing w:after="280" w:before="280" w:afterAutospacing="false" w:beforeAutospacing="false"/>
      <w:outlineLvl w:val="0"/>
    </w:pPr>
    <w:rPr>
      <w:rFonts w:ascii="Cambria" w:hAnsi="Cambria" w:cs="Cambria" w:asciiTheme="majorHAnsi" w:hAnsiTheme="majorHAnsi"/>
      <w:b w:val="true"/>
      <w:color w:val="4F81BD" w:themeColor="accent1"/>
      <w:sz w:val="48"/>
    </w:rPr>
  </w:style>
  <w:style w:styleId="Heading2" w:type="paragraph" w:default="false" w:customStyle="false">
    <w:name w:val="Heading 2"/>
    <w:basedOn w:val="Normal"/>
    <w:next w:val="Normal"/>
    <w:link w:val="Heading2Char"/>
    <w:uiPriority w:val="9"/>
    <w:qFormat w:val="true"/>
    <w:pPr>
      <w:keepLines w:val="true"/>
      <w:spacing w:after="280" w:before="280" w:afterAutospacing="false" w:beforeAutospacing="false"/>
      <w:outlineLvl w:val="1"/>
    </w:pPr>
    <w:rPr>
      <w:rFonts w:ascii="Cambria" w:hAnsi="Cambria" w:cs="Cambria" w:asciiTheme="majorHAnsi" w:hAnsiTheme="majorHAnsi"/>
      <w:b w:val="true"/>
      <w:color w:val="4F81BD" w:themeColor="accent1"/>
      <w:sz w:val="36"/>
    </w:rPr>
  </w:style>
  <w:style w:styleId="Hyperlink" w:type="character" w:default="false" w:customStyle="false">
    <w:name w:val="Hyperlink"/>
    <w:uiPriority w:val="99"/>
    <w:qFormat w:val="true"/>
    <w:pPr/>
    <w:rPr>
      <w:color w:val="0066CC"/>
      <w:u w:color="0000FF" w:val="single"/>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image" Target="media/image1.jpg"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